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8.0 -->
  <w:body>
    <w:p w:rsidR="00571378" w14:paraId="2BE5A7BA" w14:textId="77777777"/>
    <w:p w:rsidR="00A77B3E" w:rsidRPr="00571378" w:rsidP="00571378" w14:paraId="299AFE01" w14:textId="2167F318">
      <w:pPr>
        <w:pStyle w:val="APA"/>
      </w:pPr>
    </w:p>
    <w:p>
      <w:pPr>
        <w:pStyle w:val="APAHeadingCenter"/>
      </w:pPr>
    </w:p>
    <w:p>
      <w:pPr>
        <w:pStyle w:val="APATitle"/>
      </w:pPr>
      <w:r>
        <w:t>Evaluating Use of Aspirin in the Prevention of Preeclampsia</w:t>
      </w:r>
    </w:p>
    <w:p>
      <w:pPr>
        <w:pStyle w:val="APAHeadingCenter"/>
      </w:pPr>
    </w:p>
    <w:p>
      <w:pPr>
        <w:pStyle w:val="APAHeadingCenter"/>
      </w:pPr>
      <w:r>
        <w:t>Natalie Chapman</w:t>
      </w:r>
    </w:p>
    <w:p>
      <w:pPr>
        <w:pStyle w:val="APAHeadingCenter"/>
      </w:pPr>
      <w:r>
        <w:t>Georgia Southwestern State University</w:t>
      </w:r>
    </w:p>
    <w:p>
      <w:pPr>
        <w:pStyle w:val="APAHeadingCenter"/>
      </w:pPr>
      <w:r>
        <w:t>June 28, 2020</w:t>
      </w:r>
    </w:p>
    <w:p>
      <w:pPr>
        <w:pStyle w:val="APAHeadingCenter"/>
        <w:sectPr w:rsidSect="00971F7F">
          <w:headerReference w:type="default" r:id="rId4"/>
          <w:headerReference w:type="first" r:id="rId5"/>
          <w:pgSz w:w="12240" w:h="15840"/>
          <w:pgMar w:top="1440" w:right="1440" w:bottom="1440" w:left="1440" w:header="708" w:footer="708" w:gutter="0"/>
          <w:cols w:space="708"/>
          <w:docGrid w:linePitch="360"/>
        </w:sectPr>
      </w:pPr>
    </w:p>
    <w:p>
      <w:pPr>
        <w:pStyle w:val="APAAbstractHeader"/>
      </w:pPr>
      <w:r>
        <w:t>Abstract</w:t>
      </w:r>
    </w:p>
    <w:p>
      <w:pPr>
        <w:pStyle w:val="APAAbstract"/>
      </w:pPr>
      <w:r>
        <w:t>Development of preeclampsia occurs in approximately 1 in 25 pregnancies</w:t>
      </w:r>
      <w:r>
        <w:t xml:space="preserve"> </w:t>
      </w:r>
      <w:r>
        <w:t>(Centers for Disease Control and Prevention [CDC], 2020)</w:t>
      </w:r>
      <w:r>
        <w:t xml:space="preserve">. The development of this disease during pregnancy can lead to increased maternal and fetal morbidity and mortality. Secondary complications of preeclampsia include intrauterine growth restriction (IUGR), and preterm delivery </w:t>
      </w:r>
      <w:r>
        <w:t>(August &amp; Sibai, 2020)</w:t>
      </w:r>
      <w:r>
        <w:t>.</w:t>
      </w:r>
      <w:r>
        <w:t xml:space="preserve"> </w:t>
      </w:r>
      <w:r>
        <w:t xml:space="preserve"> </w:t>
      </w:r>
      <w:r>
        <w:t>The purpose of this review is to examine the efficacy of using a daily dose of low-dose aspirin (LDA) as a potential preventative measure in the development of preterm or term preeclampsia in pregnant women.</w:t>
      </w:r>
      <w:r>
        <w:t xml:space="preserve"> </w:t>
      </w:r>
    </w:p>
    <w:p>
      <w:pPr>
        <w:pStyle w:val="APA"/>
      </w:pPr>
      <w:r>
        <w:rPr>
          <w:i/>
          <w:iCs/>
        </w:rPr>
        <w:t>Keywords:</w:t>
      </w:r>
      <w:r>
        <w:t xml:space="preserve"> pregnancy, preeclampsia, aspirin</w:t>
      </w:r>
    </w:p>
    <w:p>
      <w:pPr>
        <w:pStyle w:val="APA"/>
      </w:pPr>
    </w:p>
    <w:p/>
    <w:p>
      <w:pPr>
        <w:sectPr>
          <w:pgMar w:header="720" w:footer="720"/>
          <w:cols w:space="720"/>
        </w:sectPr>
      </w:pPr>
    </w:p>
    <w:p w:rsidR="005508A1" w:rsidRPr="00541E43" w:rsidP="00514F55" w14:paraId="74F6BAF7" w14:textId="5940D532">
      <w:pPr>
        <w:pStyle w:val="APAFirstPageTitle"/>
      </w:pPr>
      <w:r>
        <w:t>Evaluating Use of Aspirin in the Prevention of Preeclampsia</w:t>
      </w:r>
    </w:p>
    <w:p w:rsidR="00541E43" w14:paraId="13216E9F" w14:textId="712F6997">
      <w:pPr>
        <w:pStyle w:val="APA"/>
      </w:pPr>
      <w:r>
        <w:t>As more data is collected and shared</w:t>
      </w:r>
      <w:r>
        <w:t xml:space="preserve"> </w:t>
      </w:r>
      <w:r>
        <w:t>regarding the gradual rise in maternal and fetal mortality in the US over the last 30 years, one must question our obstetric healthcare policies, procedures, and treatments</w:t>
      </w:r>
      <w:r>
        <w:t xml:space="preserve"> </w:t>
      </w:r>
      <w:r>
        <w:t>(Centers for Disease Control and Prevention [CDC], 2020)</w:t>
      </w:r>
      <w:r>
        <w:t>. Like so many other conditions, obstetric conditions and complications should be considered and prevented if at all possible. According to the Centers for Disease Control and Prevention (CDC), hypertensive disorders</w:t>
      </w:r>
      <w:r>
        <w:t xml:space="preserve"> </w:t>
      </w:r>
      <w:r>
        <w:t>of pregnancy, like preeclampsia, account for 6.9 percent of pregnancy related deaths in the United States</w:t>
      </w:r>
      <w:r>
        <w:t xml:space="preserve"> </w:t>
      </w:r>
      <w:r>
        <w:t>(2020)</w:t>
      </w:r>
      <w:r>
        <w:t>, and there is no current cure other than delivery of the placenta. Because of this fact, the healthcare community must continue to research and consider new treatments and preventative measures that can be taken to better serve the obstetric population.</w:t>
      </w:r>
      <w:r>
        <w:t xml:space="preserve"> </w:t>
      </w:r>
    </w:p>
    <w:p w:rsidR="00541E43">
      <w:pPr>
        <w:pStyle w:val="APA"/>
      </w:pPr>
      <w:r>
        <w:t>One of the preventative measures that has been researched over the past several years is the use of low-dose aspirin (LDA) during pregnancy in an attempt to delay onset or completely prevent the development of preeclampsia.</w:t>
      </w:r>
      <w:r>
        <w:t xml:space="preserve"> </w:t>
      </w:r>
      <w:r>
        <w:t>Because preeclampsia is associated with a decrease in</w:t>
      </w:r>
      <w:r>
        <w:t xml:space="preserve"> </w:t>
      </w:r>
      <w:r>
        <w:t>vasodilating</w:t>
      </w:r>
      <w:r>
        <w:t xml:space="preserve"> </w:t>
      </w:r>
      <w:r>
        <w:t>agents</w:t>
      </w:r>
      <w:r>
        <w:t xml:space="preserve"> </w:t>
      </w:r>
      <w:r>
        <w:t>and an increase in</w:t>
      </w:r>
      <w:r>
        <w:t xml:space="preserve"> </w:t>
      </w:r>
      <w:r>
        <w:t>vasoconstricting</w:t>
      </w:r>
      <w:r>
        <w:t xml:space="preserve"> </w:t>
      </w:r>
      <w:r>
        <w:t>agents in the body, the use of low-dose aspirin during pregnancy</w:t>
      </w:r>
      <w:r>
        <w:t xml:space="preserve"> </w:t>
      </w:r>
      <w:r>
        <w:t>has been studied due to its</w:t>
      </w:r>
      <w:r>
        <w:t xml:space="preserve"> </w:t>
      </w:r>
      <w:r>
        <w:t>antiplatelet</w:t>
      </w:r>
      <w:r>
        <w:t xml:space="preserve"> </w:t>
      </w:r>
      <w:r>
        <w:t>effects</w:t>
      </w:r>
      <w:r>
        <w:t xml:space="preserve"> </w:t>
      </w:r>
      <w:r>
        <w:t>(Duley et al., 2019)</w:t>
      </w:r>
      <w:r>
        <w:t>.</w:t>
      </w:r>
      <w:r>
        <w:t xml:space="preserve"> </w:t>
      </w:r>
      <w:r>
        <w:t xml:space="preserve"> </w:t>
      </w:r>
      <w:r>
        <w:t>Studies have</w:t>
      </w:r>
      <w:r>
        <w:t xml:space="preserve"> </w:t>
      </w:r>
      <w:r>
        <w:t>shown when</w:t>
      </w:r>
      <w:r>
        <w:t xml:space="preserve"> </w:t>
      </w:r>
      <w:r>
        <w:t xml:space="preserve">low dose aspirin is taken appropriately and started at less than 16 weeks of gestation, it can have a positive effect in the delay of onset of preeclampsia in high risk patients </w:t>
      </w:r>
      <w:r>
        <w:t>(Roberge et al., 2018)</w:t>
      </w:r>
      <w:r>
        <w:t>.</w:t>
      </w:r>
      <w:r>
        <w:t xml:space="preserve"> </w:t>
      </w:r>
      <w:r>
        <w:t xml:space="preserve"> </w:t>
      </w:r>
      <w:r>
        <w:t>The purpose of this paper is to examine the efficacy of using LDA as a preventative measure in pregnant women for</w:t>
      </w:r>
      <w:r>
        <w:t xml:space="preserve"> </w:t>
      </w:r>
      <w:r>
        <w:t>the development of preeclampsia.</w:t>
      </w:r>
      <w:r>
        <w:t xml:space="preserve"> </w:t>
      </w:r>
      <w:r>
        <w:t>Additionally, I aim</w:t>
      </w:r>
      <w:r>
        <w:t xml:space="preserve"> </w:t>
      </w:r>
      <w:r>
        <w:t>to answer</w:t>
      </w:r>
      <w:r>
        <w:t xml:space="preserve"> </w:t>
      </w:r>
      <w:r>
        <w:t>this intervention related PICOT question:</w:t>
      </w:r>
      <w:r>
        <w:t xml:space="preserve"> </w:t>
      </w:r>
      <w:r>
        <w:t>In antepartum women (P) between 20 and 40 weeks of gestation, how does taking a daily low dose aspirin (I) compare to the absence of a daily dose of low dose aspirin (C) in the prevention of preeclampsia (O) during the pregnancy (T)?</w:t>
      </w:r>
    </w:p>
    <w:p w:rsidR="00541E43">
      <w:pPr>
        <w:pStyle w:val="APA"/>
      </w:pPr>
      <w:r>
        <w:t xml:space="preserve"> </w:t>
      </w:r>
    </w:p>
    <w:p w:rsidR="00541E43">
      <w:pPr>
        <w:pStyle w:val="APA"/>
        <w:jc w:val="center"/>
      </w:pPr>
      <w:r>
        <w:rPr>
          <w:b/>
          <w:bCs/>
        </w:rPr>
        <w:t>Search Strategy</w:t>
      </w:r>
      <w:r>
        <w:rPr>
          <w:b/>
          <w:bCs/>
        </w:rPr>
        <w:t xml:space="preserve"> </w:t>
      </w:r>
    </w:p>
    <w:p w:rsidR="00541E43">
      <w:pPr>
        <w:pStyle w:val="APA"/>
      </w:pPr>
      <w:r>
        <w:t>To begin the search for relevant information related to the</w:t>
      </w:r>
      <w:r>
        <w:t xml:space="preserve"> </w:t>
      </w:r>
      <w:r>
        <w:t>PICOT question,</w:t>
      </w:r>
      <w:r>
        <w:t xml:space="preserve"> </w:t>
      </w:r>
      <w:r>
        <w:t>consideration</w:t>
      </w:r>
      <w:r>
        <w:t xml:space="preserve"> </w:t>
      </w:r>
      <w:r>
        <w:t>was taken and the</w:t>
      </w:r>
      <w:r>
        <w:t xml:space="preserve"> </w:t>
      </w:r>
      <w:r>
        <w:t>search strategy</w:t>
      </w:r>
      <w:r>
        <w:t xml:space="preserve"> </w:t>
      </w:r>
      <w:r>
        <w:t>decided upon was for</w:t>
      </w:r>
      <w:r>
        <w:t xml:space="preserve"> </w:t>
      </w:r>
      <w:r>
        <w:t>online, electronic</w:t>
      </w:r>
      <w:r>
        <w:t xml:space="preserve"> </w:t>
      </w:r>
      <w:r>
        <w:t>resources. While collecting data and evidence,</w:t>
      </w:r>
      <w:r>
        <w:t xml:space="preserve"> </w:t>
      </w:r>
      <w:r>
        <w:t>key words were used that were drawn</w:t>
      </w:r>
      <w:r>
        <w:t xml:space="preserve"> </w:t>
      </w:r>
      <w:r>
        <w:t>directly from the</w:t>
      </w:r>
      <w:r>
        <w:t xml:space="preserve"> </w:t>
      </w:r>
      <w:r>
        <w:t>PICOT question. These words were "aspirin", "pregnancy", and "preeclampsia".</w:t>
      </w:r>
      <w:r>
        <w:t xml:space="preserve"> </w:t>
      </w:r>
      <w:r>
        <w:t xml:space="preserve"> The electronic search engines Galileo, PubMed, and Chochrane Library were used to gather appropriate information related to the</w:t>
      </w:r>
      <w:r>
        <w:t xml:space="preserve"> </w:t>
      </w:r>
      <w:r>
        <w:t>PICOT question, and results were limited</w:t>
      </w:r>
      <w:r>
        <w:t xml:space="preserve"> </w:t>
      </w:r>
      <w:r>
        <w:t>to peer reviewed</w:t>
      </w:r>
      <w:r>
        <w:t xml:space="preserve"> </w:t>
      </w:r>
      <w:r>
        <w:t>articles, randomized control trials, and metaanalyses to assure</w:t>
      </w:r>
      <w:r>
        <w:t xml:space="preserve"> </w:t>
      </w:r>
      <w:r>
        <w:t>that the search results yielded appropriate and reliable information. Electronic searches were also limited</w:t>
      </w:r>
      <w:r>
        <w:t xml:space="preserve"> </w:t>
      </w:r>
      <w:r>
        <w:t>to articles,</w:t>
      </w:r>
      <w:r>
        <w:t xml:space="preserve"> </w:t>
      </w:r>
      <w:r>
        <w:t xml:space="preserve"> </w:t>
      </w:r>
      <w:r>
        <w:t>studies, or trials completed between the years of 2015-2020 so that all research compiled is relevant and current.</w:t>
      </w:r>
      <w:r>
        <w:t xml:space="preserve"> </w:t>
      </w:r>
    </w:p>
    <w:p w:rsidR="00541E43">
      <w:pPr>
        <w:pStyle w:val="APA"/>
      </w:pPr>
      <w:r>
        <w:t xml:space="preserve"> </w:t>
      </w:r>
    </w:p>
    <w:p w:rsidR="00541E43">
      <w:pPr>
        <w:pStyle w:val="APA"/>
        <w:jc w:val="center"/>
      </w:pPr>
      <w:r>
        <w:rPr>
          <w:b/>
          <w:bCs/>
        </w:rPr>
        <w:t>Theoretical Framework</w:t>
      </w:r>
    </w:p>
    <w:p w:rsidR="00541E43">
      <w:pPr>
        <w:pStyle w:val="APA"/>
      </w:pPr>
      <w:r>
        <w:t xml:space="preserve"> </w:t>
      </w:r>
      <w:r>
        <w:t xml:space="preserve">The Levels of Prevention model set forth by Leavell and Clark in 1975, considers that, “the natural history of any disease exists on a continuum, with health at one end and advanced disease at the other.” </w:t>
      </w:r>
      <w:r>
        <w:t>(Current Nursing, 2012)</w:t>
      </w:r>
      <w:r>
        <w:t>. When considering the</w:t>
      </w:r>
      <w:r>
        <w:t xml:space="preserve"> </w:t>
      </w:r>
      <w:r>
        <w:t>research population, one can observe multiple levels in this continuum of health and disease progression if the patient develops preeclampsia during her pregnancy.</w:t>
      </w:r>
      <w:r>
        <w:t xml:space="preserve"> </w:t>
      </w:r>
      <w:r>
        <w:t xml:space="preserve"> By starting a dose of aspirin early on in the pregnancy, providers are participating in and attempting to achieve primary prevention, the first level of Leavell and Clark’s model.</w:t>
      </w:r>
      <w:r>
        <w:t xml:space="preserve"> </w:t>
      </w:r>
      <w:r>
        <w:t xml:space="preserve"> </w:t>
      </w:r>
      <w:r>
        <w:t>There are four Levels of Prevention outlined by Leavell and Clarke,</w:t>
      </w:r>
      <w:r>
        <w:t xml:space="preserve"> </w:t>
      </w:r>
      <w:r>
        <w:t xml:space="preserve">which include primordial prevention, primary prevention, secondary prevention, and tertiary prevention, all of which consider different ways to stop or completely prevent the development or progression of a disease or disease process </w:t>
      </w:r>
      <w:r>
        <w:t>(Current Nursing, 2012)</w:t>
      </w:r>
      <w:r>
        <w:t>.</w:t>
      </w:r>
    </w:p>
    <w:p w:rsidR="00541E43">
      <w:pPr>
        <w:pStyle w:val="APA"/>
      </w:pPr>
      <w:r>
        <w:t>This model fits well with the research</w:t>
      </w:r>
      <w:r>
        <w:t xml:space="preserve"> </w:t>
      </w:r>
      <w:r>
        <w:t>topic as</w:t>
      </w:r>
      <w:r>
        <w:t xml:space="preserve"> </w:t>
      </w:r>
      <w:r>
        <w:t>this</w:t>
      </w:r>
      <w:r>
        <w:t xml:space="preserve"> </w:t>
      </w:r>
      <w:r>
        <w:t>research considers</w:t>
      </w:r>
      <w:r>
        <w:t xml:space="preserve"> </w:t>
      </w:r>
      <w:r>
        <w:t>whether</w:t>
      </w:r>
      <w:r>
        <w:t xml:space="preserve"> </w:t>
      </w:r>
      <w:r>
        <w:t>a daily dose of aspirin in pregnant women could help to prevent the development of preeclampsia. The use of aspirin is an intervention in</w:t>
      </w:r>
      <w:r>
        <w:t xml:space="preserve"> </w:t>
      </w:r>
      <w:r>
        <w:t xml:space="preserve">primary and secondary prevention. Because preeclampsia cannot be diagnosed until 20 weeks of gestation </w:t>
      </w:r>
      <w:r>
        <w:t>(August &amp; Sibai, 2020)</w:t>
      </w:r>
      <w:r>
        <w:t>, and the recommendation for starting daily LDA is to begin at less than 16 weeks of gestation</w:t>
      </w:r>
      <w:r>
        <w:t>(Roberge et al., 2018)</w:t>
      </w:r>
      <w:r>
        <w:t>, consideration of primary prevention</w:t>
      </w:r>
      <w:r>
        <w:t xml:space="preserve"> </w:t>
      </w:r>
      <w:r>
        <w:t>will be the principle focus for this topic as it examines</w:t>
      </w:r>
      <w:r>
        <w:t xml:space="preserve"> </w:t>
      </w:r>
      <w:r>
        <w:t>actions taken prior to the development of a disease for prevention of onset.</w:t>
      </w:r>
    </w:p>
    <w:p w:rsidR="00541E43">
      <w:pPr>
        <w:pStyle w:val="APA"/>
        <w:jc w:val="center"/>
      </w:pPr>
      <w:r>
        <w:t xml:space="preserve"> </w:t>
      </w:r>
    </w:p>
    <w:p w:rsidR="00541E43">
      <w:pPr>
        <w:pStyle w:val="APA"/>
        <w:jc w:val="center"/>
      </w:pPr>
      <w:r>
        <w:rPr>
          <w:b/>
          <w:bCs/>
        </w:rPr>
        <w:t>Literature Review</w:t>
      </w:r>
    </w:p>
    <w:p w:rsidR="00541E43">
      <w:pPr>
        <w:pStyle w:val="APA"/>
      </w:pPr>
      <w:r>
        <w:rPr>
          <w:b/>
          <w:bCs/>
        </w:rPr>
        <w:t>Atallah, A., Lecarpentier, E., Goffinett, F., Doret-Dion, M., Gaucherand, P., &amp; Tsatsaris, V. (2017, October 16).</w:t>
      </w:r>
      <w:r>
        <w:rPr>
          <w:b/>
          <w:bCs/>
        </w:rPr>
        <w:t xml:space="preserve"> </w:t>
      </w:r>
      <w:r>
        <w:rPr>
          <w:b/>
          <w:bCs/>
        </w:rPr>
        <w:t>Aspirin for prevention of preeclampsia. PubMed Central (PMC).Retrieved May 25, 2020, from</w:t>
      </w:r>
      <w:r>
        <w:rPr>
          <w:b/>
          <w:bCs/>
        </w:rPr>
        <w:t xml:space="preserve"> </w:t>
      </w:r>
      <w:r>
        <w:rPr>
          <w:b/>
          <w:bCs/>
        </w:rPr>
        <w:t>https://www.ncbi.nlm.nih.gov/pmc/articles/PMC5681618/</w:t>
      </w:r>
    </w:p>
    <w:p w:rsidR="00541E43">
      <w:pPr>
        <w:pStyle w:val="APA"/>
      </w:pPr>
      <w:r>
        <w:rPr>
          <w:b/>
          <w:bCs/>
        </w:rPr>
        <w:t>Purpose of the study:</w:t>
      </w:r>
      <w:r>
        <w:rPr>
          <w:b/>
          <w:bCs/>
        </w:rPr>
        <w:t xml:space="preserve"> </w:t>
      </w:r>
      <w:r>
        <w:t>The purpose of this study</w:t>
      </w:r>
      <w:r>
        <w:t xml:space="preserve"> </w:t>
      </w:r>
      <w:r>
        <w:t>is to examine pathophysiology of preeclampsia and the</w:t>
      </w:r>
      <w:r>
        <w:t xml:space="preserve"> </w:t>
      </w:r>
      <w:r>
        <w:t>pharmacological</w:t>
      </w:r>
      <w:r>
        <w:t xml:space="preserve"> </w:t>
      </w:r>
      <w:r>
        <w:t>effects of aspirin in the bodies of pregnant women to prevent preeclampsia in relation to gestational age and presence or absence of prior risk factors. Authors considered previous studies in comparison to one another to further compare and contrast previously collected data.</w:t>
      </w:r>
      <w:r>
        <w:t xml:space="preserve"> </w:t>
      </w:r>
    </w:p>
    <w:p w:rsidR="00541E43">
      <w:pPr>
        <w:pStyle w:val="APA"/>
      </w:pPr>
      <w:r>
        <w:rPr>
          <w:b/>
          <w:bCs/>
        </w:rPr>
        <w:t>Study Design:</w:t>
      </w:r>
      <w:r>
        <w:rPr>
          <w:b/>
          <w:bCs/>
        </w:rPr>
        <w:t xml:space="preserve"> </w:t>
      </w:r>
      <w:r>
        <w:t>This is an analytic, quantitative review of previou</w:t>
      </w:r>
      <w:r>
        <w:rPr>
          <w:i/>
          <w:iCs/>
        </w:rPr>
        <w:t>sly performed studies.</w:t>
      </w:r>
      <w:r>
        <w:rPr>
          <w:i/>
          <w:iCs/>
        </w:rPr>
        <w:t xml:space="preserve"> </w:t>
      </w:r>
    </w:p>
    <w:p w:rsidR="00541E43">
      <w:pPr>
        <w:pStyle w:val="APA"/>
      </w:pPr>
      <w:r>
        <w:rPr>
          <w:b/>
          <w:bCs/>
        </w:rPr>
        <w:t xml:space="preserve">General description of the study: </w:t>
      </w:r>
      <w:r>
        <w:t>The aim of this study is to consider past and current evidence regarding whether or not the use of aspirin in pregnancy effects the development of preeclampsia in pregnant women. The authors aimed to obtain definitive answers regarding the long debated</w:t>
      </w:r>
      <w:r>
        <w:t xml:space="preserve"> </w:t>
      </w:r>
      <w:r>
        <w:t xml:space="preserve"> hypothesis that the use of aspirin does positively correlate with the delay or prevention of </w:t>
      </w:r>
      <w:r>
        <w:t xml:space="preserve"> </w:t>
      </w:r>
      <w:r>
        <w:t>development of preeclampsia.</w:t>
      </w:r>
      <w:r>
        <w:t xml:space="preserve"> </w:t>
      </w:r>
      <w:r>
        <w:t>Factors such as whether a nullparous patient or a multiparous patient with history of preeclampsia diagnosis</w:t>
      </w:r>
      <w:r>
        <w:t xml:space="preserve"> </w:t>
      </w:r>
      <w:r>
        <w:t>in a previous pregnancy had impact on efficacy of daily LDA were considered, as well as varying dosage strengths of aspirin, ranging from 80mg to 150mg</w:t>
      </w:r>
      <w:r>
        <w:t xml:space="preserve"> </w:t>
      </w:r>
      <w:r>
        <w:t>used versus placebo use. The authors also considered iatrogenic effects of LDA</w:t>
      </w:r>
      <w:r>
        <w:t xml:space="preserve"> </w:t>
      </w:r>
      <w:r>
        <w:t>during pregnancy such as maternal hemorrhage at delivery and fetal cerebral hemorrhage.</w:t>
      </w:r>
      <w:r>
        <w:t xml:space="preserve"> </w:t>
      </w:r>
    </w:p>
    <w:p w:rsidR="00541E43">
      <w:pPr>
        <w:pStyle w:val="APA"/>
      </w:pPr>
      <w:r>
        <w:t>The results of this review were positive in that aspirin was shown to be</w:t>
      </w:r>
      <w:r>
        <w:t xml:space="preserve"> </w:t>
      </w:r>
      <w:r>
        <w:t>effective as a form of</w:t>
      </w:r>
      <w:r>
        <w:t xml:space="preserve"> </w:t>
      </w:r>
      <w:r>
        <w:t>secondary prevention of preeclampsia when started at less than 16 weeks of gestation in patients who were considered high risk for the disease. As a primary prevention of preeclampsia, this review study</w:t>
      </w:r>
      <w:r>
        <w:t xml:space="preserve"> </w:t>
      </w:r>
      <w:r>
        <w:t>concludes that there is still not enough evidence to definitively confirm that aspirin can be considered a primary prevention. The authors found that dosages of 80-150mg of aspirin</w:t>
      </w:r>
      <w:r>
        <w:t xml:space="preserve"> </w:t>
      </w:r>
      <w:r>
        <w:t>are appropriate for this intervention with low risk of iatrogenic affects to mother and fetus, with evidence of higher dosages (over 100mg) being slightly more effective in secondary prevention of preeclampsia.</w:t>
      </w:r>
      <w:r>
        <w:t xml:space="preserve"> </w:t>
      </w:r>
    </w:p>
    <w:p w:rsidR="00541E43">
      <w:pPr>
        <w:pStyle w:val="APA"/>
      </w:pPr>
      <w:r>
        <w:t xml:space="preserve"> </w:t>
      </w:r>
    </w:p>
    <w:p w:rsidR="00541E43">
      <w:pPr>
        <w:pStyle w:val="APA"/>
      </w:pPr>
      <w:r>
        <w:rPr>
          <w:b/>
          <w:bCs/>
        </w:rPr>
        <w:t>Roberge, S., Bujold, E., &amp; Nicolaides, K. B. (2018).</w:t>
      </w:r>
      <w:r>
        <w:rPr>
          <w:b/>
          <w:bCs/>
        </w:rPr>
        <w:t xml:space="preserve"> </w:t>
      </w:r>
      <w:r>
        <w:rPr>
          <w:b/>
          <w:bCs/>
        </w:rPr>
        <w:t>Aspirin for the prevention of preterm and term preeclampsia: Systematic review and metaanalysis - pubmed. American Journal of Obstetrics and Gynecology. Retrieved May 26, 2020, from</w:t>
      </w:r>
      <w:r>
        <w:rPr>
          <w:b/>
          <w:bCs/>
        </w:rPr>
        <w:t xml:space="preserve"> </w:t>
      </w:r>
      <w:r>
        <w:rPr>
          <w:b/>
          <w:bCs/>
        </w:rPr>
        <w:t>https://www.ajog.org/article/S0002-9378(17)32326-8/fulltext</w:t>
      </w:r>
    </w:p>
    <w:p w:rsidR="00541E43">
      <w:pPr>
        <w:pStyle w:val="APA"/>
      </w:pPr>
      <w:r>
        <w:rPr>
          <w:b/>
          <w:bCs/>
        </w:rPr>
        <w:t>Purpose of the study:</w:t>
      </w:r>
      <w:r>
        <w:rPr>
          <w:b/>
          <w:bCs/>
        </w:rPr>
        <w:t xml:space="preserve"> </w:t>
      </w:r>
      <w:r>
        <w:t>The purpose of this study is to systematically review previously performed randomized controlled trials that have given contradictory results regarding aspirin as medication used for complete prevention or delay of onset of preterm and term preeclampsia.</w:t>
      </w:r>
      <w:r>
        <w:t xml:space="preserve"> </w:t>
      </w:r>
    </w:p>
    <w:p w:rsidR="00541E43">
      <w:pPr>
        <w:pStyle w:val="APA"/>
      </w:pPr>
      <w:r>
        <w:rPr>
          <w:b/>
          <w:bCs/>
        </w:rPr>
        <w:t>Study Design:</w:t>
      </w:r>
      <w:r>
        <w:rPr>
          <w:b/>
          <w:bCs/>
        </w:rPr>
        <w:t xml:space="preserve"> </w:t>
      </w:r>
      <w:r>
        <w:t>This is a metaanalysis of previously performed studies.</w:t>
      </w:r>
      <w:r>
        <w:t xml:space="preserve"> </w:t>
      </w:r>
    </w:p>
    <w:p w:rsidR="00541E43">
      <w:pPr>
        <w:pStyle w:val="APA"/>
      </w:pPr>
      <w:r>
        <w:rPr>
          <w:b/>
          <w:bCs/>
        </w:rPr>
        <w:t>General Description of the Study:</w:t>
      </w:r>
      <w:r>
        <w:rPr>
          <w:b/>
          <w:bCs/>
        </w:rPr>
        <w:t xml:space="preserve"> </w:t>
      </w:r>
      <w:r>
        <w:t>This metaanalysis includes several previously performed trials regarding the use of LDA as a preventative medication for development of preeclampsia. The authors were particularly interested in determining the effects of aspirin on development of preterm and term development of preeclampsia. Sixteen trials were reviewed, with a total of 18,907 participants included. Within these trials, varying and contradictory</w:t>
      </w:r>
      <w:r>
        <w:t xml:space="preserve"> </w:t>
      </w:r>
      <w:r>
        <w:t>results of efficacy of</w:t>
      </w:r>
      <w:r>
        <w:t xml:space="preserve"> </w:t>
      </w:r>
      <w:r>
        <w:t>LDA have been detailed with variables that include gestational age, maternal risk factors, and dosage of aspirin. Also considered in the review was</w:t>
      </w:r>
      <w:r>
        <w:t xml:space="preserve"> </w:t>
      </w:r>
      <w:r>
        <w:t>specific definition of "prevention" being limited to development of pre-term preeclampsia vs.</w:t>
      </w:r>
      <w:r>
        <w:t xml:space="preserve"> </w:t>
      </w:r>
      <w:r>
        <w:t>total preeclampsia. In each of the reviewed studies, use of a placebo control group was present.</w:t>
      </w:r>
      <w:r>
        <w:t xml:space="preserve"> </w:t>
      </w:r>
    </w:p>
    <w:p w:rsidR="00541E43">
      <w:pPr>
        <w:pStyle w:val="APA"/>
      </w:pPr>
      <w:r>
        <w:t>Successful measurement of prevention of</w:t>
      </w:r>
      <w:r>
        <w:t xml:space="preserve"> </w:t>
      </w:r>
      <w:r>
        <w:t xml:space="preserve"> preterm preeclampsia with prophylactic LDA</w:t>
      </w:r>
      <w:r>
        <w:t xml:space="preserve"> </w:t>
      </w:r>
      <w:r>
        <w:t>use</w:t>
      </w:r>
      <w:r>
        <w:t xml:space="preserve"> </w:t>
      </w:r>
      <w:r>
        <w:t>was shown in the results of this review, but there were no significant results seen for the</w:t>
      </w:r>
      <w:r>
        <w:t xml:space="preserve"> </w:t>
      </w:r>
      <w:r>
        <w:t>prevention of development of</w:t>
      </w:r>
      <w:r>
        <w:t xml:space="preserve"> </w:t>
      </w:r>
      <w:r>
        <w:t xml:space="preserve"> term preeclampsia with use of</w:t>
      </w:r>
      <w:r>
        <w:t xml:space="preserve"> </w:t>
      </w:r>
      <w:r>
        <w:t xml:space="preserve"> prophylactic LDA. In development of preterm preeclampsia, dosages of</w:t>
      </w:r>
      <w:r>
        <w:t xml:space="preserve"> </w:t>
      </w:r>
      <w:r>
        <w:t xml:space="preserve"> greater than 100mg of aspirin started at less than 16 weeks of gestation were effective, but there was not significant evidence to show that aspirin started after 16 weeks gestation were effective in either preterm development or term development of preeclampsia, regardless of level of aspirin dose.</w:t>
      </w:r>
      <w:r>
        <w:t xml:space="preserve"> </w:t>
      </w:r>
    </w:p>
    <w:p w:rsidR="00541E43">
      <w:pPr>
        <w:pStyle w:val="APA"/>
      </w:pPr>
      <w:r>
        <w:t xml:space="preserve"> </w:t>
      </w:r>
    </w:p>
    <w:p w:rsidR="00541E43">
      <w:pPr>
        <w:pStyle w:val="APA"/>
      </w:pPr>
      <w:r>
        <w:rPr>
          <w:b/>
          <w:bCs/>
        </w:rPr>
        <w:t>Xu, T., Zhou, F., Deng, C., Huang, G., Li, J., &amp; Wang, X. (2015). Low-dose aspirin for preventing preeclampsia and its complications: A meta-analysis.</w:t>
      </w:r>
      <w:r>
        <w:rPr>
          <w:b/>
          <w:bCs/>
        </w:rPr>
        <w:t xml:space="preserve"> </w:t>
      </w:r>
      <w:r>
        <w:rPr>
          <w:b/>
          <w:bCs/>
        </w:rPr>
        <w:t>The Journal of Clinical Hypertension,</w:t>
      </w:r>
      <w:r>
        <w:rPr>
          <w:b/>
          <w:bCs/>
        </w:rPr>
        <w:t xml:space="preserve"> </w:t>
      </w:r>
      <w:r>
        <w:rPr>
          <w:b/>
          <w:bCs/>
        </w:rPr>
        <w:t>17(7), 567–573. Retrieved May 26, 2020, from</w:t>
      </w:r>
      <w:r>
        <w:rPr>
          <w:b/>
          <w:bCs/>
        </w:rPr>
        <w:t xml:space="preserve"> </w:t>
      </w:r>
      <w:r>
        <w:rPr>
          <w:b/>
          <w:bCs/>
        </w:rPr>
        <w:t>https://doi.org/10.1111/jch.12541</w:t>
      </w:r>
    </w:p>
    <w:p w:rsidR="00541E43">
      <w:pPr>
        <w:pStyle w:val="APA"/>
      </w:pPr>
      <w:r>
        <w:rPr>
          <w:b/>
          <w:bCs/>
        </w:rPr>
        <w:t>Purpose of the study:</w:t>
      </w:r>
      <w:r>
        <w:rPr>
          <w:b/>
          <w:bCs/>
        </w:rPr>
        <w:t xml:space="preserve"> </w:t>
      </w:r>
      <w:r>
        <w:t>The purpose of this study is to systemically review current literature in the hopes of determining</w:t>
      </w:r>
      <w:r>
        <w:t xml:space="preserve"> </w:t>
      </w:r>
      <w:r>
        <w:t>whether the use of LDA</w:t>
      </w:r>
      <w:r>
        <w:t xml:space="preserve"> </w:t>
      </w:r>
      <w:r>
        <w:t>prophylactically</w:t>
      </w:r>
      <w:r>
        <w:t xml:space="preserve"> </w:t>
      </w:r>
      <w:r>
        <w:t>will reduce risk of development of preeclampsia, specifically if in high risk mothers, if</w:t>
      </w:r>
      <w:r>
        <w:t xml:space="preserve"> </w:t>
      </w:r>
      <w:r>
        <w:t>LDA is started before or at 16 weeks of gestation.</w:t>
      </w:r>
      <w:r>
        <w:t xml:space="preserve"> </w:t>
      </w:r>
    </w:p>
    <w:p w:rsidR="00541E43">
      <w:pPr>
        <w:pStyle w:val="APA"/>
      </w:pPr>
      <w:r>
        <w:rPr>
          <w:b/>
          <w:bCs/>
        </w:rPr>
        <w:t>Study design:</w:t>
      </w:r>
      <w:r>
        <w:rPr>
          <w:b/>
          <w:bCs/>
        </w:rPr>
        <w:t xml:space="preserve"> </w:t>
      </w:r>
      <w:r>
        <w:t>This is a metaanalysis</w:t>
      </w:r>
      <w:r>
        <w:t xml:space="preserve"> </w:t>
      </w:r>
      <w:r>
        <w:t>of 29 randomized control trials that evaluate whether or not LDA is an acceptable medication for prophylaxis of</w:t>
      </w:r>
      <w:r>
        <w:t xml:space="preserve"> </w:t>
      </w:r>
      <w:r>
        <w:t xml:space="preserve"> preeclampsia performed in accordiance with Preferred Reporting Items for Systematic Reviews and Meta‐Analyses (PRISMA).</w:t>
      </w:r>
      <w:r>
        <w:t xml:space="preserve"> </w:t>
      </w:r>
    </w:p>
    <w:p w:rsidR="00541E43">
      <w:pPr>
        <w:pStyle w:val="APA"/>
      </w:pPr>
      <w:r>
        <w:rPr>
          <w:b/>
          <w:bCs/>
        </w:rPr>
        <w:t>General description of the study:</w:t>
      </w:r>
      <w:r>
        <w:rPr>
          <w:b/>
          <w:bCs/>
        </w:rPr>
        <w:t xml:space="preserve"> </w:t>
      </w:r>
      <w:r>
        <w:t>This metaanylysis reviews 29 studies completed with the specific inclusion criteria of women who were considered to be at a higher risk for developing preeclampsia during their pregnancy. Those with existing chronic renal disease,</w:t>
      </w:r>
      <w:r>
        <w:t xml:space="preserve"> </w:t>
      </w:r>
      <w:r>
        <w:t xml:space="preserve"> </w:t>
      </w:r>
      <w:r>
        <w:t>hypertension, diabetes mellitus, or antiphospolipid</w:t>
      </w:r>
      <w:r>
        <w:t xml:space="preserve"> </w:t>
      </w:r>
      <w:r>
        <w:t>syndrome, as well abnormal Doppler findings, positive rollover test, or a positive angiotensin sensitivity test were considered in these studies. Variables considered in this metaanalysis</w:t>
      </w:r>
      <w:r>
        <w:t xml:space="preserve"> </w:t>
      </w:r>
      <w:r>
        <w:t>were gestational age at initiation</w:t>
      </w:r>
      <w:r>
        <w:t xml:space="preserve"> </w:t>
      </w:r>
      <w:r>
        <w:t>of therapy, dosage of aspirin.</w:t>
      </w:r>
      <w:r>
        <w:t xml:space="preserve"> </w:t>
      </w:r>
      <w:r>
        <w:t>The LDA was compared to a placebo control</w:t>
      </w:r>
      <w:r>
        <w:t xml:space="preserve"> </w:t>
      </w:r>
      <w:r>
        <w:t>in each study that was reviewed by the authors.</w:t>
      </w:r>
      <w:r>
        <w:t xml:space="preserve"> </w:t>
      </w:r>
    </w:p>
    <w:p w:rsidR="00541E43">
      <w:pPr>
        <w:pStyle w:val="APA"/>
      </w:pPr>
      <w:r>
        <w:t>Results of the metaanylysis showed that risk for development of preeclampsia was reduced in high risk mothers when daily LDA was initiated before and after 16 weeks of gestation, but risk was lower in those that began treatment at less than 16 weeks of gestation. This particular review also found that LDA may also reduce complications of pregnancy such as</w:t>
      </w:r>
      <w:r>
        <w:t xml:space="preserve"> </w:t>
      </w:r>
      <w:r>
        <w:t>preterm birth, and intrauterine growth restriction</w:t>
      </w:r>
      <w:r>
        <w:t xml:space="preserve"> </w:t>
      </w:r>
      <w:r>
        <w:t>IUGR in patients with high‐risk pregnancies, both of which can be complications related to preeclampsia.</w:t>
      </w:r>
      <w:r>
        <w:t xml:space="preserve"> </w:t>
      </w:r>
    </w:p>
    <w:p w:rsidR="00541E43">
      <w:pPr>
        <w:pStyle w:val="APA"/>
      </w:pPr>
      <w:r>
        <w:t xml:space="preserve"> </w:t>
      </w:r>
    </w:p>
    <w:p w:rsidR="00541E43">
      <w:pPr>
        <w:pStyle w:val="APA"/>
      </w:pPr>
      <w:r>
        <w:rPr>
          <w:b/>
          <w:bCs/>
        </w:rPr>
        <w:t>Rolnik, D. L., Wright, D., Poon, L. C., O’Gorman, N., Syngelaki, A., de Paco Matallana, C., Akolekar, R., Cicero, S., Janga, D., Singh, M., Molina, F. S., Persico, N., Jani, J. C., Plasencia, W., Papaioannou, G., Tenenbaum-Gavish, K., Meiri, H., Gizurarson, S., Maclagan, K., &amp; Nicolaides, K. H. (2017). Aspirin versus placebo in pregnancies at high risk for preterm preeclampsia.</w:t>
      </w:r>
      <w:r>
        <w:rPr>
          <w:b/>
          <w:bCs/>
        </w:rPr>
        <w:t xml:space="preserve"> </w:t>
      </w:r>
      <w:r>
        <w:rPr>
          <w:b/>
          <w:bCs/>
        </w:rPr>
        <w:t>New England Journal of Medicine,</w:t>
      </w:r>
      <w:r>
        <w:rPr>
          <w:b/>
          <w:bCs/>
        </w:rPr>
        <w:t xml:space="preserve"> </w:t>
      </w:r>
      <w:r>
        <w:rPr>
          <w:b/>
          <w:bCs/>
        </w:rPr>
        <w:t>377(7), 613–622. Retrieved May 26, 2020, from</w:t>
      </w:r>
      <w:r>
        <w:rPr>
          <w:b/>
          <w:bCs/>
        </w:rPr>
        <w:t xml:space="preserve"> </w:t>
      </w:r>
      <w:r>
        <w:rPr>
          <w:b/>
          <w:bCs/>
        </w:rPr>
        <w:t>https://doi.org/10.1056/nejmoa1704559</w:t>
      </w:r>
    </w:p>
    <w:p w:rsidR="00541E43">
      <w:pPr>
        <w:pStyle w:val="APA"/>
      </w:pPr>
      <w:r>
        <w:rPr>
          <w:b/>
          <w:bCs/>
        </w:rPr>
        <w:t>Purpose of study:</w:t>
      </w:r>
      <w:r>
        <w:rPr>
          <w:b/>
          <w:bCs/>
        </w:rPr>
        <w:t xml:space="preserve"> </w:t>
      </w:r>
      <w:r>
        <w:t>The purpose of this study is to determine whether or not the use of LDA is effective in treating preterm preeclampsia in pregnant women.</w:t>
      </w:r>
    </w:p>
    <w:p w:rsidR="00541E43">
      <w:pPr>
        <w:pStyle w:val="APA"/>
      </w:pPr>
      <w:r>
        <w:rPr>
          <w:b/>
          <w:bCs/>
        </w:rPr>
        <w:t>Study Design:</w:t>
      </w:r>
      <w:r>
        <w:rPr>
          <w:b/>
          <w:bCs/>
        </w:rPr>
        <w:t xml:space="preserve"> </w:t>
      </w:r>
      <w:r>
        <w:t>Randomized control trial of 1776 participants</w:t>
      </w:r>
    </w:p>
    <w:p w:rsidR="00541E43">
      <w:pPr>
        <w:pStyle w:val="APA"/>
      </w:pPr>
      <w:r>
        <w:rPr>
          <w:b/>
          <w:bCs/>
        </w:rPr>
        <w:t>General description of the study:</w:t>
      </w:r>
      <w:r>
        <w:rPr>
          <w:b/>
          <w:bCs/>
        </w:rPr>
        <w:t xml:space="preserve"> </w:t>
      </w:r>
      <w:r>
        <w:t>This is a study of 1776 women with singleton pregnancies who were all determined to be high risk for development of preterm preeclampsia. The Bayes' theory was used to determine the risk for development of preeclampsia</w:t>
      </w:r>
      <w:r>
        <w:t xml:space="preserve"> </w:t>
      </w:r>
      <w:r>
        <w:t>in</w:t>
      </w:r>
      <w:r>
        <w:t xml:space="preserve"> </w:t>
      </w:r>
      <w:r>
        <w:t>each participant.</w:t>
      </w:r>
      <w:r>
        <w:t xml:space="preserve"> </w:t>
      </w:r>
      <w:r>
        <w:t xml:space="preserve"> </w:t>
      </w:r>
      <w:r>
        <w:t>Participants received either 150mg of aspirin daily, which</w:t>
      </w:r>
      <w:r>
        <w:t xml:space="preserve"> </w:t>
      </w:r>
      <w:r>
        <w:t>was introduced between 11-14 weeks of gestation, or a placebo as the control. Exclusion criteria for this study included severely ill or unconcious patients, patients who had previously been prescribed aspirin within the last 28 days, presence of learning disabilities or severe mental illness, preexisting fetal abnormalities, presence of bleeding disorder, diagnosis of peptic ulcer, hypersensitivity to aspirin, or long term use of NSAIDs.</w:t>
      </w:r>
      <w:r>
        <w:t xml:space="preserve"> </w:t>
      </w:r>
    </w:p>
    <w:p w:rsidR="00541E43">
      <w:pPr>
        <w:pStyle w:val="APA"/>
      </w:pPr>
      <w:r>
        <w:t>The results of this</w:t>
      </w:r>
      <w:r>
        <w:t xml:space="preserve"> </w:t>
      </w:r>
      <w:r>
        <w:t>double-blind, placebo-controlled trial</w:t>
      </w:r>
      <w:r>
        <w:t xml:space="preserve"> </w:t>
      </w:r>
      <w:r>
        <w:t>concluded that use of LDA</w:t>
      </w:r>
      <w:r>
        <w:t xml:space="preserve"> </w:t>
      </w:r>
      <w:r>
        <w:t>in women who are considered high risk for preeclampsia reduces incidence of development of preeclampsia. Preeclampsia occurred in 1.6% of participants in the aspirin group, compared to 4.3% of participants in the placebo group. This study found no correlation with higher aspirin dose (150mg) and maternal or fetal adverse reactions.</w:t>
      </w:r>
      <w:r>
        <w:t xml:space="preserve"> </w:t>
      </w:r>
    </w:p>
    <w:p w:rsidR="00541E43">
      <w:pPr>
        <w:pStyle w:val="APA"/>
      </w:pPr>
      <w:r>
        <w:t xml:space="preserve"> </w:t>
      </w:r>
    </w:p>
    <w:p w:rsidR="00541E43">
      <w:pPr>
        <w:pStyle w:val="APA"/>
      </w:pPr>
      <w:r>
        <w:rPr>
          <w:b/>
          <w:bCs/>
        </w:rPr>
        <w:t>Wright, D., &amp; Nicolaides, K. H. (2019). Aspirin delays the development of preeclampsia.</w:t>
      </w:r>
      <w:r>
        <w:rPr>
          <w:b/>
          <w:bCs/>
        </w:rPr>
        <w:t xml:space="preserve"> </w:t>
      </w:r>
      <w:r>
        <w:rPr>
          <w:b/>
          <w:bCs/>
        </w:rPr>
        <w:t>American Journal of Obstetrics and Gynecology,</w:t>
      </w:r>
      <w:r>
        <w:rPr>
          <w:b/>
          <w:bCs/>
        </w:rPr>
        <w:t xml:space="preserve"> </w:t>
      </w:r>
      <w:r>
        <w:rPr>
          <w:b/>
          <w:bCs/>
        </w:rPr>
        <w:t>220(6), 580.e1–580.e6. Retrieved May 26, 2020, from</w:t>
      </w:r>
      <w:r>
        <w:rPr>
          <w:b/>
          <w:bCs/>
        </w:rPr>
        <w:t xml:space="preserve"> </w:t>
      </w:r>
      <w:r>
        <w:rPr>
          <w:b/>
          <w:bCs/>
        </w:rPr>
        <w:t>https://doi.org/10.1016/j.ajog.2019.02.034</w:t>
      </w:r>
    </w:p>
    <w:p w:rsidR="00541E43">
      <w:pPr>
        <w:pStyle w:val="APA"/>
      </w:pPr>
      <w:r>
        <w:rPr>
          <w:b/>
          <w:bCs/>
        </w:rPr>
        <w:t>Purpose of study:</w:t>
      </w:r>
      <w:r>
        <w:rPr>
          <w:b/>
          <w:bCs/>
        </w:rPr>
        <w:t xml:space="preserve"> </w:t>
      </w:r>
      <w:r>
        <w:t>The purpose of this study is to examine and determine whether the use of LDA</w:t>
      </w:r>
      <w:r>
        <w:t xml:space="preserve"> </w:t>
      </w:r>
      <w:r>
        <w:t>is appropriate for prophylaxis against development of preeclampsia.</w:t>
      </w:r>
    </w:p>
    <w:p w:rsidR="00541E43">
      <w:pPr>
        <w:pStyle w:val="APA"/>
      </w:pPr>
      <w:r>
        <w:rPr>
          <w:b/>
          <w:bCs/>
        </w:rPr>
        <w:t>Study design:</w:t>
      </w:r>
      <w:r>
        <w:rPr>
          <w:b/>
          <w:bCs/>
        </w:rPr>
        <w:t xml:space="preserve"> </w:t>
      </w:r>
      <w:r>
        <w:t>This study is an exploratory analysis of data from the</w:t>
      </w:r>
      <w:r>
        <w:t xml:space="preserve"> </w:t>
      </w:r>
      <w:r>
        <w:t>Aspirin for Evidence-Based Preeclampsia Prevention trial.</w:t>
      </w:r>
      <w:r>
        <w:t xml:space="preserve"> </w:t>
      </w:r>
    </w:p>
    <w:p w:rsidR="00541E43">
      <w:pPr>
        <w:pStyle w:val="APA"/>
      </w:pPr>
      <w:r>
        <w:rPr>
          <w:b/>
          <w:bCs/>
        </w:rPr>
        <w:t>General description of the study:</w:t>
      </w:r>
      <w:r>
        <w:rPr>
          <w:b/>
          <w:bCs/>
        </w:rPr>
        <w:t xml:space="preserve"> </w:t>
      </w:r>
      <w:r>
        <w:t xml:space="preserve">The aim of this study was to review and analyze the data gathered from the Aspirin for Evidence- Based Preeclampsia Prevention trial. The study aimed to prove the hypothesis that the use of LDA could dealy development of preeclampsia in mothers who were deemed high risk. Women who had risk factors that were </w:t>
      </w:r>
      <w:r>
        <w:t xml:space="preserve"> </w:t>
      </w:r>
      <w:r>
        <w:t>&gt;1 in 100 were included in the study, and were then randomly assigned to the aspirin group, or placebo group.</w:t>
      </w:r>
      <w:r>
        <w:t xml:space="preserve"> </w:t>
      </w:r>
    </w:p>
    <w:p w:rsidR="00541E43">
      <w:pPr>
        <w:pStyle w:val="APA"/>
      </w:pPr>
      <w:r>
        <w:t>The results of the study confirmed that the hypothesis that use of daily LDA</w:t>
      </w:r>
      <w:r>
        <w:t xml:space="preserve"> </w:t>
      </w:r>
      <w:r>
        <w:t>delays onset of preeclampsia in pregnant women was confirmed. Those patients who used aspirin daily had a decrease in incidence of development of preterm preeclampsia. There was no</w:t>
      </w:r>
      <w:r>
        <w:t xml:space="preserve"> </w:t>
      </w:r>
      <w:r>
        <w:t>significant data showing aspirin prevents</w:t>
      </w:r>
      <w:r>
        <w:t xml:space="preserve"> </w:t>
      </w:r>
      <w:r>
        <w:t>the development of term preeclampsia.</w:t>
      </w:r>
      <w:r>
        <w:t xml:space="preserve"> </w:t>
      </w:r>
    </w:p>
    <w:p w:rsidR="00541E43">
      <w:pPr>
        <w:pStyle w:val="APA"/>
      </w:pPr>
      <w:r>
        <w:t xml:space="preserve"> </w:t>
      </w:r>
    </w:p>
    <w:p w:rsidR="00541E43">
      <w:pPr>
        <w:pStyle w:val="APA"/>
        <w:jc w:val="center"/>
      </w:pPr>
      <w:r>
        <w:rPr>
          <w:b/>
          <w:bCs/>
        </w:rPr>
        <w:t>Ethical Considerations</w:t>
      </w:r>
    </w:p>
    <w:p w:rsidR="00541E43">
      <w:pPr>
        <w:pStyle w:val="APANoIndent"/>
        <w:ind w:firstLine="0"/>
      </w:pPr>
      <w:r>
        <w:rPr>
          <w:b/>
          <w:bCs/>
        </w:rPr>
        <w:t>Beneficence</w:t>
      </w:r>
    </w:p>
    <w:p w:rsidR="00541E43">
      <w:pPr>
        <w:pStyle w:val="APA"/>
      </w:pPr>
      <w:r>
        <w:t>The ethical concern that should be considered in this research is beneficence. Beneficence refers to doing what is good for the patient, and in the</w:t>
      </w:r>
      <w:r>
        <w:t xml:space="preserve"> </w:t>
      </w:r>
      <w:r>
        <w:t>specific population of pregnant women,</w:t>
      </w:r>
      <w:r>
        <w:t xml:space="preserve"> </w:t>
      </w:r>
      <w:r>
        <w:t xml:space="preserve"> that means we must use careful</w:t>
      </w:r>
      <w:r>
        <w:t xml:space="preserve"> </w:t>
      </w:r>
      <w:r>
        <w:t>consideration of the tools and medications that we have available</w:t>
      </w:r>
      <w:r>
        <w:t xml:space="preserve"> </w:t>
      </w:r>
      <w:r>
        <w:t>which may prevent the development of perinatal complications, including preeclampsia.</w:t>
      </w:r>
    </w:p>
    <w:p w:rsidR="00541E43">
      <w:pPr>
        <w:pStyle w:val="APA"/>
      </w:pPr>
      <w:r>
        <w:t>The PICOT question being researched is related to employing medication to prevent development of preeclampsia during pregnancy. As providers, consideration of current research regarding preventative medications should be used for patients considered “at risk” for</w:t>
      </w:r>
      <w:r>
        <w:t xml:space="preserve"> </w:t>
      </w:r>
      <w:r>
        <w:t>development of</w:t>
      </w:r>
      <w:r>
        <w:t xml:space="preserve"> </w:t>
      </w:r>
      <w:r>
        <w:t>certain conditions. Making decisions regarding what is best or good for a patient requires using beneficence in the judgement of each individual case to decide if the medication does the most good for the patient.</w:t>
      </w:r>
    </w:p>
    <w:p w:rsidR="00541E43">
      <w:pPr>
        <w:pStyle w:val="APA"/>
      </w:pPr>
      <w:r>
        <w:t xml:space="preserve"> </w:t>
      </w:r>
    </w:p>
    <w:p w:rsidR="00541E43">
      <w:pPr>
        <w:pStyle w:val="APA"/>
        <w:jc w:val="center"/>
      </w:pPr>
      <w:r>
        <w:rPr>
          <w:b/>
          <w:bCs/>
        </w:rPr>
        <w:t>Funding Strategies</w:t>
      </w:r>
    </w:p>
    <w:p w:rsidR="00541E43">
      <w:pPr>
        <w:pStyle w:val="APANoIndent"/>
        <w:ind w:firstLine="0"/>
      </w:pPr>
      <w:r>
        <w:rPr>
          <w:b/>
          <w:bCs/>
        </w:rPr>
        <w:t>U.S. Food and Drug Administration Office of Women's Health</w:t>
      </w:r>
    </w:p>
    <w:p w:rsidR="00541E43">
      <w:pPr>
        <w:pStyle w:val="APA"/>
      </w:pPr>
      <w:r>
        <w:t>In searching for</w:t>
      </w:r>
      <w:r>
        <w:t xml:space="preserve"> </w:t>
      </w:r>
      <w:r>
        <w:t>research funding related to women's heath and specifically perinatal health outcomes,</w:t>
      </w:r>
      <w:r>
        <w:t xml:space="preserve"> </w:t>
      </w:r>
      <w:r>
        <w:t xml:space="preserve"> </w:t>
      </w:r>
      <w:r>
        <w:t>one could consider the</w:t>
      </w:r>
      <w:r>
        <w:t xml:space="preserve"> </w:t>
      </w:r>
      <w:r>
        <w:t xml:space="preserve"> </w:t>
      </w:r>
      <w:r>
        <w:t>FDA Office of Women’s Heath (OWH) for a</w:t>
      </w:r>
      <w:r>
        <w:t xml:space="preserve"> </w:t>
      </w:r>
      <w:r>
        <w:t>potential funding</w:t>
      </w:r>
      <w:r>
        <w:t xml:space="preserve"> </w:t>
      </w:r>
      <w:r>
        <w:t>source. The FDA OWH offers grants, cooperative agreements, and contracts to encourage, support, and</w:t>
      </w:r>
      <w:r>
        <w:t xml:space="preserve"> </w:t>
      </w:r>
      <w:r>
        <w:t>promote research of women’s health topics by those who are outside the umbrella</w:t>
      </w:r>
      <w:r>
        <w:t xml:space="preserve"> </w:t>
      </w:r>
      <w:r>
        <w:t>of the FDA.</w:t>
      </w:r>
    </w:p>
    <w:p w:rsidR="00541E43">
      <w:pPr>
        <w:pStyle w:val="APA"/>
      </w:pPr>
      <w:r>
        <w:t xml:space="preserve">The FDA OWH focuses specifically on, “health conditions and diseases that solely or disproportionately affect women” </w:t>
      </w:r>
      <w:r>
        <w:t>(U.S. Food and Drug Administration [FDA], 2020, p. 1)</w:t>
      </w:r>
      <w:r>
        <w:t>. This relates to the research being conducted on development of preeclampsia as preeclampsia can only affect women who are pregnant.</w:t>
      </w:r>
    </w:p>
    <w:p w:rsidR="00541E43">
      <w:pPr>
        <w:pStyle w:val="APA"/>
      </w:pPr>
      <w:r>
        <w:t xml:space="preserve"> </w:t>
      </w:r>
    </w:p>
    <w:p w:rsidR="00541E43">
      <w:pPr>
        <w:pStyle w:val="APA"/>
        <w:jc w:val="center"/>
      </w:pPr>
      <w:r>
        <w:rPr>
          <w:b/>
          <w:bCs/>
        </w:rPr>
        <w:t>Implementation Strategy</w:t>
      </w:r>
    </w:p>
    <w:p w:rsidR="00541E43">
      <w:pPr>
        <w:pStyle w:val="APA"/>
      </w:pPr>
      <w:r>
        <w:t>Using evidence based practice (EBP) in the clinical setting is an important step to take in furthering and improving quality of patient care and result of patient outcomes.</w:t>
      </w:r>
      <w:r>
        <w:t xml:space="preserve"> </w:t>
      </w:r>
      <w:r>
        <w:t>While change may be difficult to make, providers and leaders must be committed to implementing and sustaining new research and EBP as it becomes available. Tools such as required competency measures, that may include education and testing may be quickly and easily added and enforced in the workplace, but studies have shown that they are not all together effective in maintaining EBP on the whole</w:t>
      </w:r>
      <w:r>
        <w:t xml:space="preserve"> </w:t>
      </w:r>
      <w:r>
        <w:t>(Melnyk et al., 2017)</w:t>
      </w:r>
      <w:r>
        <w:t>. This shows that implementation of new EBP policies and procedures must be measured and assessed frequently and appropriately to assure quality and compliance.</w:t>
      </w:r>
      <w:r>
        <w:t xml:space="preserve"> </w:t>
      </w:r>
    </w:p>
    <w:p w:rsidR="00541E43">
      <w:pPr>
        <w:pStyle w:val="APA"/>
      </w:pPr>
      <w:r>
        <w:t>The Iowa Model is a known and widely used model for implementation of healthcare EBP. This model supplies medical professionals with guidance regarding decisions in practice</w:t>
      </w:r>
      <w:r>
        <w:t xml:space="preserve"> </w:t>
      </w:r>
      <w:r>
        <w:t>that may affect patients on a day to day basis. Following steps to identify "triggers" or problem areas, develop a PICOT question, locate and critically analyze evidence;</w:t>
      </w:r>
      <w:r>
        <w:t xml:space="preserve"> </w:t>
      </w:r>
      <w:r>
        <w:t xml:space="preserve">then design a plan for implementation, understanding potential risks and benefits of using new procedures, guidelines, or practices. As the new policy, procedure, or guideline is being implemented and tested in the clinical environment, close attention and evaluation must occur to determine the outcome </w:t>
      </w:r>
      <w:r>
        <w:t>(Titler, 2007, Chapter 6)</w:t>
      </w:r>
      <w:r>
        <w:t>.</w:t>
      </w:r>
    </w:p>
    <w:p w:rsidR="00541E43">
      <w:pPr>
        <w:pStyle w:val="APA"/>
      </w:pPr>
      <w:r>
        <w:t>To fully integrate the proposed and tested change in practice, organizations such as the the Georgia Perinatal Quality Collaborative (GaPQC), FDA OWH, and the American College of Obstetrics and Gynecology (ACOG) would need to be presented with the results of the study done in the</w:t>
      </w:r>
      <w:r>
        <w:t xml:space="preserve"> </w:t>
      </w:r>
      <w:r>
        <w:t>clinical setting. Collaboration with organizations such as these would increase likelihood of future, broad scope, changes being made to better serve patients and improve perinatal outcomes.</w:t>
      </w:r>
      <w:r>
        <w:t xml:space="preserve"> </w:t>
      </w:r>
    </w:p>
    <w:p w:rsidR="00541E43">
      <w:pPr>
        <w:pStyle w:val="APA"/>
      </w:pPr>
      <w:r>
        <w:t xml:space="preserve"> </w:t>
      </w:r>
    </w:p>
    <w:p w:rsidR="00541E43">
      <w:pPr>
        <w:pStyle w:val="APA"/>
        <w:jc w:val="center"/>
      </w:pPr>
      <w:r>
        <w:rPr>
          <w:b/>
          <w:bCs/>
        </w:rPr>
        <w:t>Conclusion</w:t>
      </w:r>
    </w:p>
    <w:p w:rsidR="00541E43">
      <w:pPr>
        <w:pStyle w:val="APA"/>
      </w:pPr>
      <w:r>
        <w:t>Preeclampsia is a serious problem, contributing to the continuing rise of maternal and fetal morbidity and mortality in the United States. The consequences of the development of preeclampsia during the perinatal period can range widely and include preterm delivery, fetal growth restriction, seizures, stroke, and maternal and/or fetal death. Addressing this disease and evaluating prophylactic use of low dose aspirin on the development of preeclampsia is important so that providers may better serve and care for their patients.</w:t>
      </w:r>
      <w:r>
        <w:t xml:space="preserve"> </w:t>
      </w:r>
    </w:p>
    <w:p w:rsidR="00541E43">
      <w:pPr>
        <w:pStyle w:val="APA"/>
        <w:sectPr>
          <w:pgSz w:w="12240" w:h="15840"/>
          <w:pgMar w:top="1440" w:right="1440" w:bottom="1440" w:left="1440" w:header="708" w:footer="708" w:gutter="0"/>
          <w:cols w:space="708"/>
          <w:docGrid w:linePitch="360"/>
        </w:sectPr>
      </w:pPr>
      <w:r>
        <w:t>The use of low dose aspirin in the prevention of preeclampsia has been proven to have effect on the onset of preeclampsia in patients who meet criteria for being high risk for preeclampsia. Multiple studies reported that</w:t>
      </w:r>
      <w:r>
        <w:t xml:space="preserve"> </w:t>
      </w:r>
      <w:r>
        <w:t>groups taking low dose aspirin</w:t>
      </w:r>
      <w:r>
        <w:t xml:space="preserve"> </w:t>
      </w:r>
      <w:r>
        <w:t>had lesser cases of preterm preeclampsia, while their control groups taking placebos had higher rates of preterm preeclampsia. The development of term preeclampsia was not effected. It seems that the aspirin does not completely prevent the development of preeclampsia but can indeed delay onset, especially in high risk patient populations. Dose of aspirin and gestational age at introduction of aspirin may have impact on the efficacy of the drug.</w:t>
      </w:r>
      <w:r>
        <w:t xml:space="preserve"> </w:t>
      </w:r>
    </w:p>
    <w:p>
      <w:pPr>
        <w:pStyle w:val="APAReferenceSectionHeading"/>
      </w:pPr>
      <w:r>
        <w:t>References</w:t>
      </w:r>
    </w:p>
    <w:p>
      <w:pPr>
        <w:pStyle w:val="APAReference"/>
      </w:pPr>
      <w:r>
        <w:t xml:space="preserve">Atallah, A., Lecarpentier, E., Goffinett, F., Doret-Dion, M., Gaucherand, P., &amp; Tsatsaris, V. (2017, October 16). </w:t>
      </w:r>
      <w:r>
        <w:rPr>
          <w:i/>
          <w:iCs/>
        </w:rPr>
        <w:t>Aspirin for prevention of preeclampsia</w:t>
      </w:r>
      <w:r>
        <w:t xml:space="preserve">. PubMed Central (PMC). Retrieved May 25, 2020, from </w:t>
      </w:r>
      <w:hyperlink r:id="rId6" w:history="1">
        <w:r>
          <w:t>https://www.ncbi.nlm.nih.gov/pmc/articles/PMC5681618/</w:t>
        </w:r>
      </w:hyperlink>
    </w:p>
    <w:p>
      <w:pPr>
        <w:pStyle w:val="APAReference"/>
      </w:pPr>
      <w:r>
        <w:t xml:space="preserve">August, P., &amp; Sibai, B. M. (2020). Preeclampsia: Clinical features and diagnosis (C. J. Lockwood &amp; V. A. Barss, Eds.). </w:t>
      </w:r>
      <w:r>
        <w:rPr>
          <w:i/>
          <w:iCs/>
        </w:rPr>
        <w:t>UpToDate</w:t>
      </w:r>
      <w:r>
        <w:t xml:space="preserve">. Retrieved June 23, 2020, from </w:t>
      </w:r>
      <w:hyperlink r:id="rId7" w:history="1">
        <w:r>
          <w:t>https://www.uptodate.com/contents/preeclampsia-clinical-features-and-diagnosis</w:t>
        </w:r>
      </w:hyperlink>
    </w:p>
    <w:p>
      <w:pPr>
        <w:pStyle w:val="APAReference"/>
      </w:pPr>
      <w:r>
        <w:t xml:space="preserve">Centers for Disease Control and Prevention. (2020, February 4). </w:t>
      </w:r>
      <w:r>
        <w:rPr>
          <w:i/>
          <w:iCs/>
        </w:rPr>
        <w:t>Trends in pregnancy related deaths</w:t>
      </w:r>
      <w:r>
        <w:t xml:space="preserve">. Retrieved June 23, 2020, from </w:t>
      </w:r>
      <w:hyperlink r:id="rId8" w:history="1">
        <w:r>
          <w:t>https://www.cdc.gov/reproductivehealth/maternal-mortality/pregnancy-mortality-surveillance-system.htm</w:t>
        </w:r>
      </w:hyperlink>
    </w:p>
    <w:p>
      <w:pPr>
        <w:pStyle w:val="APAReference"/>
      </w:pPr>
      <w:r>
        <w:t xml:space="preserve">Centers for Disease Control and Prevention. (2020, January 28). </w:t>
      </w:r>
      <w:r>
        <w:rPr>
          <w:i/>
          <w:iCs/>
        </w:rPr>
        <w:t>High blood pressure during pregnancy</w:t>
      </w:r>
      <w:r>
        <w:t xml:space="preserve">. Retrieved June 22, 2020, from </w:t>
      </w:r>
      <w:hyperlink r:id="rId9" w:history="1">
        <w:r>
          <w:t>https://www.cdc.gov/bloodpressure/pregnancy.htm</w:t>
        </w:r>
      </w:hyperlink>
    </w:p>
    <w:p>
      <w:pPr>
        <w:pStyle w:val="APAReference"/>
      </w:pPr>
      <w:r>
        <w:t xml:space="preserve">Current Nursing. (2012, January 28). </w:t>
      </w:r>
      <w:r>
        <w:rPr>
          <w:i/>
          <w:iCs/>
        </w:rPr>
        <w:t>Models of Prevention</w:t>
      </w:r>
      <w:r>
        <w:t xml:space="preserve">. Retrieved June 1, 2020, from </w:t>
      </w:r>
      <w:hyperlink r:id="rId10" w:anchor="Clinical%20model" w:history="1">
        <w:r>
          <w:t>http://www.currentnursing.com/nursing_theory/models_prevention.html#Clinical%20model</w:t>
        </w:r>
      </w:hyperlink>
    </w:p>
    <w:p>
      <w:pPr>
        <w:pStyle w:val="APAReference"/>
      </w:pPr>
      <w:r>
        <w:t xml:space="preserve">Duley, L., Meher, S., Hunter, K. E., Seidler, A., &amp; Askie, L. M. (2019). Antiplatelet agents for preventing pre-eclampsia and its complications. </w:t>
      </w:r>
      <w:r>
        <w:rPr>
          <w:i/>
          <w:iCs/>
        </w:rPr>
        <w:t>Cochrane Database of Systematic Reviews</w:t>
      </w:r>
      <w:r>
        <w:t xml:space="preserve">. Retrieved May 26, 2020, from </w:t>
      </w:r>
      <w:hyperlink r:id="rId11" w:history="1">
        <w:r>
          <w:t>https://doi.org/10.1002/14651858.cd004659.pub3</w:t>
        </w:r>
      </w:hyperlink>
    </w:p>
    <w:p>
      <w:pPr>
        <w:pStyle w:val="APAReference"/>
      </w:pPr>
      <w:r>
        <w:t xml:space="preserve">Melnyk, B., Gallagher-Ford, L., Zellefrow, C., Tucker, S., Thomas, B., Sinnott, L. T., &amp; Tan, A. (2017). The first u.s. study on nurses’ evidence-based practice competencies indicates major deficits that threaten healthcare quality, safety, and patient outcomes. </w:t>
      </w:r>
      <w:r>
        <w:rPr>
          <w:i/>
          <w:iCs/>
        </w:rPr>
        <w:t>Worldviews on Evidence-Based Nursing</w:t>
      </w:r>
      <w:r>
        <w:t xml:space="preserve">, </w:t>
      </w:r>
      <w:r>
        <w:rPr>
          <w:i/>
          <w:iCs/>
        </w:rPr>
        <w:t>15</w:t>
      </w:r>
      <w:r>
        <w:t xml:space="preserve">(1), 16–25. </w:t>
      </w:r>
      <w:hyperlink r:id="rId12" w:history="1">
        <w:r>
          <w:t>https://doi.org/10.1111/wvn.12269</w:t>
        </w:r>
      </w:hyperlink>
    </w:p>
    <w:p>
      <w:pPr>
        <w:pStyle w:val="APAReference"/>
      </w:pPr>
      <w:r>
        <w:t xml:space="preserve">Pandve, H. T. (2014, November 11). </w:t>
      </w:r>
      <w:r>
        <w:rPr>
          <w:i/>
          <w:iCs/>
        </w:rPr>
        <w:t>Changing concept of disease prevention: From primordial to quaternary</w:t>
      </w:r>
      <w:r>
        <w:t xml:space="preserve">. Archives of Medicine &amp; Health Sciences. Retrieved June 23, 2020, from </w:t>
      </w:r>
      <w:hyperlink r:id="rId13" w:history="1">
        <w:r>
          <w:t>http://www.amhsjournal.org/article.asp?issn=2321-4848;year=2014;volume=2;issue=2;spage=254;epage=256;aulast=Pandve</w:t>
        </w:r>
      </w:hyperlink>
    </w:p>
    <w:p>
      <w:pPr>
        <w:pStyle w:val="APAReference"/>
      </w:pPr>
      <w:r>
        <w:t xml:space="preserve">Roberge, S., Bujold, E., &amp; Nicolaides, K. B. (2018). </w:t>
      </w:r>
      <w:r>
        <w:rPr>
          <w:i/>
          <w:iCs/>
        </w:rPr>
        <w:t>Aspirin for the prevention of preterm and term preeclampsia: Systematic review and metaanalysis - pubmed</w:t>
      </w:r>
      <w:r>
        <w:t xml:space="preserve">. American Journal of Obstetrics and Gynecology. Retrieved May 26, 2020, from </w:t>
      </w:r>
      <w:hyperlink r:id="rId14" w:history="1">
        <w:r>
          <w:t>https://www.ajog.org/article/S0002-9378(17)32326-8/fulltext</w:t>
        </w:r>
      </w:hyperlink>
    </w:p>
    <w:p>
      <w:pPr>
        <w:pStyle w:val="APAReference"/>
      </w:pPr>
      <w:r>
        <w:t xml:space="preserve">Rolnik, D. L., Wright, D., Poon, L. C., O’Gorman, N., Syngelaki, A., de Paco Matallana, C., Akolekar, R., Cicero, S., Janga, D., Singh, M., Molina, F. S., Persico, N., Jani, J. C., Plasencia, W., Papaioannou, G., Tenenbaum-Gavish, K., Meiri, H., Gizurarson, S., Maclagan, K., &amp; Nicolaides, K. H. (2017). Aspirin versus placebo in pregnancies at high risk for preterm preeclampsia. </w:t>
      </w:r>
      <w:r>
        <w:rPr>
          <w:i/>
          <w:iCs/>
        </w:rPr>
        <w:t>New England Journal of Medicine</w:t>
      </w:r>
      <w:r>
        <w:t xml:space="preserve">, </w:t>
      </w:r>
      <w:r>
        <w:rPr>
          <w:i/>
          <w:iCs/>
        </w:rPr>
        <w:t>377</w:t>
      </w:r>
      <w:r>
        <w:t xml:space="preserve">(7), 613–622. Retrieved May 26, 2020, from </w:t>
      </w:r>
      <w:hyperlink r:id="rId15" w:history="1">
        <w:r>
          <w:t>https://doi.org/10.1056/nejmoa1704559</w:t>
        </w:r>
      </w:hyperlink>
    </w:p>
    <w:p>
      <w:pPr>
        <w:pStyle w:val="APAReference"/>
      </w:pPr>
      <w:r>
        <w:t xml:space="preserve">Titler, M. (2007). </w:t>
      </w:r>
      <w:r>
        <w:rPr>
          <w:i/>
          <w:iCs/>
        </w:rPr>
        <w:t>Models and frameworks for implementing evidence based practice: Linking evidence to action</w:t>
      </w:r>
      <w:r>
        <w:t xml:space="preserve"> (J. Rycroft- Malone &amp; T. Bucknall, Eds.). Wiley. </w:t>
      </w:r>
      <w:hyperlink r:id="rId16" w:anchor="v=snippet&amp;q=iowa%20model&amp;f=false" w:history="1">
        <w:r>
          <w:t>https://doi.org/https://books.google.com/books?hl=en&amp;lr=&amp;id=EpDbQSI1390C&amp;oi=fnd&amp;pg=PA137&amp;dq=the+iowa+model+ebp+scholarly+articles&amp;ots=edkEAUWwLN&amp;sig=rjhpxehXij8f5iVqTtjMoBgQRWE#v=snippet&amp;q=iowa%20model&amp;f=false</w:t>
        </w:r>
      </w:hyperlink>
    </w:p>
    <w:p>
      <w:pPr>
        <w:pStyle w:val="APAReference"/>
      </w:pPr>
      <w:r>
        <w:t xml:space="preserve">U.S. Food and Drug Administration. (2020, January 22). </w:t>
      </w:r>
      <w:r>
        <w:rPr>
          <w:i/>
          <w:iCs/>
        </w:rPr>
        <w:t>OWH research and development program</w:t>
      </w:r>
      <w:r>
        <w:t xml:space="preserve">. Retrieved June 17, 2020, from </w:t>
      </w:r>
      <w:hyperlink r:id="rId17" w:history="1">
        <w:r>
          <w:t>https://www.fda.gov/science-research/womens-health-research/owh-research-and-development-program</w:t>
        </w:r>
      </w:hyperlink>
    </w:p>
    <w:p>
      <w:pPr>
        <w:pStyle w:val="APAReference"/>
      </w:pPr>
      <w:r>
        <w:t xml:space="preserve">Wright, D., &amp; Nicolaides, K. H. (2019). Aspirin delays the development of preeclampsia. </w:t>
      </w:r>
      <w:r>
        <w:rPr>
          <w:i/>
          <w:iCs/>
        </w:rPr>
        <w:t>American Journal of Obstetrics and Gynecology</w:t>
      </w:r>
      <w:r>
        <w:t xml:space="preserve">, </w:t>
      </w:r>
      <w:r>
        <w:rPr>
          <w:i/>
          <w:iCs/>
        </w:rPr>
        <w:t>220</w:t>
      </w:r>
      <w:r>
        <w:t xml:space="preserve">(6), 580.e1–580.e6. Retrieved May 26, 2020, from </w:t>
      </w:r>
      <w:hyperlink r:id="rId18" w:history="1">
        <w:r>
          <w:t>https://doi.org/10.1016/j.ajog.2019.02.034</w:t>
        </w:r>
      </w:hyperlink>
    </w:p>
    <w:p>
      <w:pPr>
        <w:pStyle w:val="APAReference"/>
      </w:pPr>
      <w:r>
        <w:t xml:space="preserve">Xu, T., Zhou, F., Deng, C., Huang, G., Li, J., &amp; Wang, X. (2015). Low-dose aspirin for preventing preeclampsia and its complications: A meta-analysis. </w:t>
      </w:r>
      <w:r>
        <w:rPr>
          <w:i/>
          <w:iCs/>
        </w:rPr>
        <w:t>The Journal of Clinical Hypertension</w:t>
      </w:r>
      <w:r>
        <w:t xml:space="preserve">, </w:t>
      </w:r>
      <w:r>
        <w:rPr>
          <w:i/>
          <w:iCs/>
        </w:rPr>
        <w:t>17</w:t>
      </w:r>
      <w:r>
        <w:t xml:space="preserve">(7), 567–573. Retrieved May 26, 2020, from </w:t>
      </w:r>
      <w:hyperlink r:id="rId19" w:history="1">
        <w:r>
          <w:t>https://doi.org/10.1111/jch.12541</w:t>
        </w:r>
      </w:hyperlink>
    </w:p>
    <w:sectPr>
      <w:type w:val="nextPag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62" w14:paraId="10EAFFE0" w14:textId="4695C6BB">
    <w:pPr>
      <w:pStyle w:val="APAPageHeading"/>
    </w:pPr>
    <w:r>
      <w:t>EVALUATING USE OF ASPIRIN IN THE</w:t>
    </w:r>
    <w:r w:rsidR="00786BE2">
      <w:tab/>
    </w:r>
    <w:r w:rsidR="00786BE2">
      <w:fldChar w:fldCharType="begin"/>
    </w:r>
    <w:r w:rsidR="00786BE2">
      <w:instrText>PAGE</w:instrText>
    </w:r>
    <w:r w:rsidR="00786BE2">
      <w:fldChar w:fldCharType="separate"/>
    </w:r>
    <w:r w:rsidR="00786BE2">
      <w:t>16</w:t>
    </w:r>
    <w:r w:rsidR="00786BE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62" w14:paraId="62A8330B" w14:textId="0D251930">
    <w:pPr>
      <w:pStyle w:val="APAPageHeading"/>
    </w:pPr>
    <w:r w:rsidRPr="00317AE2" w:rsidR="00571378">
      <w:rPr>
        <w:rStyle w:val="PlaceholderText"/>
      </w:rPr>
      <w:t>Click or tap here to enter text.</w:t>
    </w:r>
    <w:r w:rsidR="00786BE2">
      <w:tab/>
    </w:r>
    <w:r w:rsidR="00786BE2">
      <w:fldChar w:fldCharType="begin"/>
    </w:r>
    <w:r w:rsidR="00786BE2">
      <w:instrText>PAGE</w:instrText>
    </w:r>
    <w:r w:rsidR="00786BE2">
      <w:fldChar w:fldCharType="separate"/>
    </w:r>
    <w:r w:rsidR="005508A1">
      <w:rPr>
        <w:noProof/>
      </w:rPr>
      <w:t>1</w:t>
    </w:r>
    <w:r w:rsidR="00786BE2">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9747C90"/>
    <w:lvl w:ilvl="0">
      <w:start w:val="1"/>
      <w:numFmt w:val="decimal"/>
      <w:lvlText w:val="%1."/>
      <w:lvlJc w:val="left"/>
      <w:pPr>
        <w:tabs>
          <w:tab w:val="num" w:pos="1800"/>
        </w:tabs>
        <w:ind w:left="1800" w:hanging="360"/>
      </w:pPr>
    </w:lvl>
  </w:abstractNum>
  <w:abstractNum w:abstractNumId="1">
    <w:nsid w:val="FFFFFF7D"/>
    <w:multiLevelType w:val="singleLevel"/>
    <w:tmpl w:val="15B07204"/>
    <w:lvl w:ilvl="0">
      <w:start w:val="1"/>
      <w:numFmt w:val="decimal"/>
      <w:lvlText w:val="%1."/>
      <w:lvlJc w:val="left"/>
      <w:pPr>
        <w:tabs>
          <w:tab w:val="num" w:pos="1440"/>
        </w:tabs>
        <w:ind w:left="1440" w:hanging="360"/>
      </w:pPr>
    </w:lvl>
  </w:abstractNum>
  <w:abstractNum w:abstractNumId="2">
    <w:nsid w:val="FFFFFF7E"/>
    <w:multiLevelType w:val="singleLevel"/>
    <w:tmpl w:val="6F42A5EE"/>
    <w:lvl w:ilvl="0">
      <w:start w:val="1"/>
      <w:numFmt w:val="decimal"/>
      <w:lvlText w:val="%1."/>
      <w:lvlJc w:val="left"/>
      <w:pPr>
        <w:tabs>
          <w:tab w:val="num" w:pos="1080"/>
        </w:tabs>
        <w:ind w:left="1080" w:hanging="360"/>
      </w:pPr>
    </w:lvl>
  </w:abstractNum>
  <w:abstractNum w:abstractNumId="3">
    <w:nsid w:val="FFFFFF7F"/>
    <w:multiLevelType w:val="singleLevel"/>
    <w:tmpl w:val="122A4256"/>
    <w:lvl w:ilvl="0">
      <w:start w:val="1"/>
      <w:numFmt w:val="decimal"/>
      <w:lvlText w:val="%1."/>
      <w:lvlJc w:val="left"/>
      <w:pPr>
        <w:tabs>
          <w:tab w:val="num" w:pos="720"/>
        </w:tabs>
        <w:ind w:left="720" w:hanging="360"/>
      </w:pPr>
    </w:lvl>
  </w:abstractNum>
  <w:abstractNum w:abstractNumId="4">
    <w:nsid w:val="FFFFFF80"/>
    <w:multiLevelType w:val="singleLevel"/>
    <w:tmpl w:val="2B7EFA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76E88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046ADB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A2059A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626583A"/>
    <w:lvl w:ilvl="0">
      <w:start w:val="1"/>
      <w:numFmt w:val="decimal"/>
      <w:lvlText w:val="%1."/>
      <w:lvlJc w:val="left"/>
      <w:pPr>
        <w:tabs>
          <w:tab w:val="num" w:pos="360"/>
        </w:tabs>
        <w:ind w:left="360" w:hanging="360"/>
      </w:pPr>
    </w:lvl>
  </w:abstractNum>
  <w:abstractNum w:abstractNumId="9">
    <w:nsid w:val="FFFFFF89"/>
    <w:multiLevelType w:val="singleLevel"/>
    <w:tmpl w:val="5858AD1A"/>
    <w:lvl w:ilvl="0">
      <w:start w:val="1"/>
      <w:numFmt w:val="bullet"/>
      <w:lvlText w:val=""/>
      <w:lvlJc w:val="left"/>
      <w:pPr>
        <w:tabs>
          <w:tab w:val="num" w:pos="360"/>
        </w:tabs>
        <w:ind w:left="360" w:hanging="360"/>
      </w:pPr>
      <w:rPr>
        <w:rFonts w:ascii="Symbol" w:hAnsi="Symbol" w:hint="default"/>
      </w:rPr>
    </w:lvl>
  </w:abstractNum>
  <w:abstractNum w:abstractNumId="10">
    <w:nsid w:val="0FFE3B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8BB3D5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B05968"/>
    <w:multiLevelType w:val="multilevel"/>
    <w:tmpl w:val="C1D0ED8C"/>
    <w:lvl w:ilvl="0">
      <w:start w:val="1"/>
      <w:numFmt w:val="upperRoman"/>
      <w:pStyle w:val="ListParagraph"/>
      <w:lvlText w:val="%1."/>
      <w:lvlJc w:val="left"/>
      <w:pPr>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lowerLetter"/>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2"/>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E62"/>
    <w:rsid w:val="00000974"/>
    <w:rsid w:val="00032058"/>
    <w:rsid w:val="000B0790"/>
    <w:rsid w:val="00145CC0"/>
    <w:rsid w:val="00176981"/>
    <w:rsid w:val="00192E1D"/>
    <w:rsid w:val="002054CE"/>
    <w:rsid w:val="00213E07"/>
    <w:rsid w:val="00253E24"/>
    <w:rsid w:val="002665BE"/>
    <w:rsid w:val="002B5D6D"/>
    <w:rsid w:val="002B79B1"/>
    <w:rsid w:val="003110C2"/>
    <w:rsid w:val="00316D09"/>
    <w:rsid w:val="00317AE2"/>
    <w:rsid w:val="00366E62"/>
    <w:rsid w:val="003717D4"/>
    <w:rsid w:val="003B242D"/>
    <w:rsid w:val="003B5581"/>
    <w:rsid w:val="003E43D0"/>
    <w:rsid w:val="00433515"/>
    <w:rsid w:val="0043647B"/>
    <w:rsid w:val="0045289E"/>
    <w:rsid w:val="00464C26"/>
    <w:rsid w:val="00471F88"/>
    <w:rsid w:val="0048109D"/>
    <w:rsid w:val="00487282"/>
    <w:rsid w:val="004B617F"/>
    <w:rsid w:val="004E1435"/>
    <w:rsid w:val="004E1B5B"/>
    <w:rsid w:val="005131B4"/>
    <w:rsid w:val="00514F55"/>
    <w:rsid w:val="00541E43"/>
    <w:rsid w:val="005508A1"/>
    <w:rsid w:val="00571378"/>
    <w:rsid w:val="00573592"/>
    <w:rsid w:val="005A0250"/>
    <w:rsid w:val="005A14FF"/>
    <w:rsid w:val="005D1DD8"/>
    <w:rsid w:val="00672B4B"/>
    <w:rsid w:val="0069608D"/>
    <w:rsid w:val="006A6EDA"/>
    <w:rsid w:val="006A7BC2"/>
    <w:rsid w:val="006C14D2"/>
    <w:rsid w:val="006D7678"/>
    <w:rsid w:val="0071671D"/>
    <w:rsid w:val="007801B4"/>
    <w:rsid w:val="00786BE2"/>
    <w:rsid w:val="007A786F"/>
    <w:rsid w:val="008251F4"/>
    <w:rsid w:val="00842C38"/>
    <w:rsid w:val="008451FB"/>
    <w:rsid w:val="00892BD9"/>
    <w:rsid w:val="008A326A"/>
    <w:rsid w:val="008B080E"/>
    <w:rsid w:val="008C0A2C"/>
    <w:rsid w:val="008D0794"/>
    <w:rsid w:val="00910B65"/>
    <w:rsid w:val="00970AF5"/>
    <w:rsid w:val="00971F7F"/>
    <w:rsid w:val="00A03EA5"/>
    <w:rsid w:val="00A04071"/>
    <w:rsid w:val="00A11EF5"/>
    <w:rsid w:val="00A349D1"/>
    <w:rsid w:val="00A534B5"/>
    <w:rsid w:val="00A74A00"/>
    <w:rsid w:val="00A77B3E"/>
    <w:rsid w:val="00A846AA"/>
    <w:rsid w:val="00A955C3"/>
    <w:rsid w:val="00AD3F87"/>
    <w:rsid w:val="00AE77D5"/>
    <w:rsid w:val="00B5708C"/>
    <w:rsid w:val="00B57CA9"/>
    <w:rsid w:val="00B66175"/>
    <w:rsid w:val="00B67AC3"/>
    <w:rsid w:val="00BC3E29"/>
    <w:rsid w:val="00BE7FB2"/>
    <w:rsid w:val="00C13077"/>
    <w:rsid w:val="00C33D39"/>
    <w:rsid w:val="00C66254"/>
    <w:rsid w:val="00CA787D"/>
    <w:rsid w:val="00CB139C"/>
    <w:rsid w:val="00CB3EA3"/>
    <w:rsid w:val="00CE14DE"/>
    <w:rsid w:val="00CF09CA"/>
    <w:rsid w:val="00D3436C"/>
    <w:rsid w:val="00D40FB4"/>
    <w:rsid w:val="00D53D40"/>
    <w:rsid w:val="00D61E38"/>
    <w:rsid w:val="00DD181A"/>
    <w:rsid w:val="00DE55DF"/>
    <w:rsid w:val="00E0063C"/>
    <w:rsid w:val="00E213DB"/>
    <w:rsid w:val="00E50AEC"/>
    <w:rsid w:val="00E6565B"/>
    <w:rsid w:val="00E7404C"/>
    <w:rsid w:val="00E74D44"/>
    <w:rsid w:val="00E75482"/>
    <w:rsid w:val="00EA2F2D"/>
    <w:rsid w:val="00EB6E2C"/>
    <w:rsid w:val="00ED0529"/>
    <w:rsid w:val="00ED7779"/>
    <w:rsid w:val="00EF032A"/>
    <w:rsid w:val="00F81799"/>
    <w:rsid w:val="00F85114"/>
    <w:rsid w:val="00F95129"/>
    <w:rsid w:val="00FC64C2"/>
    <w:rsid w:val="00FE2B36"/>
    <w:rsid w:val="00FE4B76"/>
  </w:rsids>
  <w:docVars>
    <w:docVar w:name="bmHeaderInfo" w:val="APA 6 TEMPLATE"/>
    <w:docVar w:name="clsAbstract" w:val="False"/>
    <w:docVar w:name="cPaperAPAOrMLA" w:val="1"/>
    <w:docVar w:name="cUniquePaperID" w:val="431465106812500I254054"/>
    <w:docVar w:name="ExportDate" w:val="2/15/2018 12:16 PM"/>
    <w:docVar w:name="HasTitlePage" w:val="True"/>
    <w:docVar w:name="IncludeAnnotations" w:val="False"/>
    <w:docVar w:name="LastEditedVersion" w:val="8"/>
    <w:docVar w:name="PaperID" w:val="00000000-0000-0000-0000-00000000000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5:docId w15:val="{1F5D757A-F220-B842-87B7-8A8D3E25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rsid w:val="00EA2F2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semiHidden/>
    <w:unhideWhenUsed/>
    <w:qFormat/>
    <w:rsid w:val="003B242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3B242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3B242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3B242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3B242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B242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link w:val="APAChar"/>
    <w:qFormat/>
    <w:pPr>
      <w:spacing w:after="0" w:line="480" w:lineRule="auto"/>
      <w:ind w:firstLine="720"/>
    </w:pPr>
  </w:style>
  <w:style w:type="paragraph" w:styleId="BodyText">
    <w:name w:val="Body Text"/>
    <w:basedOn w:val="Normal"/>
    <w:link w:val="BodyTextChar"/>
    <w:rsid w:val="00805BCE"/>
    <w:pPr>
      <w:spacing w:after="120"/>
    </w:pPr>
  </w:style>
  <w:style w:type="paragraph" w:customStyle="1" w:styleId="APAAbstract">
    <w:name w:val="APA Abstract"/>
    <w:basedOn w:val="APA"/>
    <w:pPr>
      <w:ind w:firstLine="0"/>
    </w:pPr>
  </w:style>
  <w:style w:type="paragraph" w:customStyle="1" w:styleId="APABlockQuote1stpara">
    <w:name w:val="APA Block Quote 1st para"/>
    <w:basedOn w:val="APA"/>
    <w:next w:val="APA"/>
    <w:qFormat/>
    <w:pPr>
      <w:ind w:left="720" w:firstLine="0"/>
    </w:pPr>
  </w:style>
  <w:style w:type="paragraph" w:customStyle="1" w:styleId="APABlockQuoteSubsequentPara">
    <w:name w:val="APA Block Quote Subsequent Para"/>
    <w:basedOn w:val="APA"/>
    <w:next w:val="APA"/>
    <w:pPr>
      <w:ind w:left="720"/>
    </w:pPr>
  </w:style>
  <w:style w:type="paragraph" w:customStyle="1" w:styleId="APAHeading1">
    <w:name w:val="APA Heading 1"/>
    <w:basedOn w:val="APA"/>
    <w:next w:val="APA"/>
    <w:link w:val="APAHeading1Char"/>
    <w:qFormat/>
    <w:pPr>
      <w:ind w:firstLine="0"/>
      <w:jc w:val="center"/>
      <w:outlineLvl w:val="0"/>
    </w:pPr>
    <w:rPr>
      <w:b/>
    </w:rPr>
  </w:style>
  <w:style w:type="paragraph" w:customStyle="1" w:styleId="APAHeading2">
    <w:name w:val="APA Heading 2"/>
    <w:basedOn w:val="APAHeading1"/>
    <w:next w:val="APA"/>
    <w:qFormat/>
    <w:pPr>
      <w:jc w:val="left"/>
      <w:outlineLvl w:val="1"/>
    </w:pPr>
  </w:style>
  <w:style w:type="paragraph" w:customStyle="1" w:styleId="APAHeading3">
    <w:name w:val="APA Heading 3"/>
    <w:basedOn w:val="APAHeading1"/>
    <w:next w:val="APA"/>
    <w:link w:val="APAHeading3Char"/>
    <w:qFormat/>
    <w:rsid w:val="00A955C3"/>
    <w:pPr>
      <w:jc w:val="left"/>
      <w:outlineLvl w:val="2"/>
    </w:pPr>
    <w:rPr>
      <w:i/>
    </w:rPr>
  </w:style>
  <w:style w:type="paragraph" w:customStyle="1" w:styleId="APAHeading4">
    <w:name w:val="APA Heading 4"/>
    <w:basedOn w:val="APAHeading1"/>
    <w:next w:val="APA"/>
    <w:link w:val="APAHeading4Char"/>
    <w:qFormat/>
    <w:rsid w:val="00A955C3"/>
    <w:pPr>
      <w:ind w:firstLine="720"/>
      <w:jc w:val="left"/>
      <w:outlineLvl w:val="3"/>
    </w:pPr>
  </w:style>
  <w:style w:type="paragraph" w:customStyle="1" w:styleId="APAHeading5">
    <w:name w:val="APA Heading 5"/>
    <w:basedOn w:val="APAHeading1"/>
    <w:next w:val="APA"/>
    <w:link w:val="APAHeading5Char"/>
    <w:qFormat/>
    <w:rsid w:val="00A955C3"/>
    <w:pPr>
      <w:ind w:firstLine="720"/>
      <w:jc w:val="left"/>
      <w:outlineLvl w:val="4"/>
    </w:pPr>
    <w:rPr>
      <w:i/>
    </w:rPr>
  </w:style>
  <w:style w:type="paragraph" w:customStyle="1" w:styleId="APAHeadingCenter">
    <w:name w:val="APA Heading Center"/>
    <w:basedOn w:val="APA"/>
    <w:pPr>
      <w:ind w:firstLine="0"/>
      <w:jc w:val="center"/>
    </w:pPr>
  </w:style>
  <w:style w:type="paragraph" w:customStyle="1" w:styleId="APAPageHeading">
    <w:name w:val="APA Page Heading"/>
    <w:basedOn w:val="APA"/>
    <w:pPr>
      <w:tabs>
        <w:tab w:val="right" w:pos="9360"/>
      </w:tabs>
      <w:ind w:firstLine="0"/>
    </w:pPr>
  </w:style>
  <w:style w:type="paragraph" w:customStyle="1" w:styleId="APAReference">
    <w:name w:val="APA Reference"/>
    <w:basedOn w:val="APA"/>
    <w:qFormat/>
    <w:pPr>
      <w:ind w:left="720" w:hanging="720"/>
    </w:pPr>
  </w:style>
  <w:style w:type="paragraph" w:customStyle="1" w:styleId="APARunningHead">
    <w:name w:val="APA Running Head"/>
    <w:basedOn w:val="Normal"/>
    <w:pPr>
      <w:spacing w:line="480" w:lineRule="auto"/>
    </w:pPr>
  </w:style>
  <w:style w:type="paragraph" w:customStyle="1" w:styleId="APAHeadingCenterIncludedInTOC">
    <w:name w:val="APA Heading Center Included In TOC"/>
    <w:basedOn w:val="APA"/>
    <w:next w:val="APA"/>
    <w:pPr>
      <w:ind w:firstLine="0"/>
      <w:jc w:val="center"/>
      <w:outlineLvl w:val="0"/>
    </w:pPr>
  </w:style>
  <w:style w:type="paragraph" w:customStyle="1" w:styleId="APAAnnotation">
    <w:name w:val="APA Annotation"/>
    <w:basedOn w:val="APA"/>
    <w:next w:val="APAAnnotationFollowUp"/>
    <w:qFormat/>
    <w:rsid w:val="00C33D39"/>
    <w:pPr>
      <w:ind w:left="720" w:firstLine="0"/>
    </w:pPr>
  </w:style>
  <w:style w:type="paragraph" w:customStyle="1" w:styleId="APAOutlineLevel1">
    <w:name w:val="APA Outline Level 1"/>
    <w:basedOn w:val="APA"/>
    <w:next w:val="APA"/>
    <w:pPr>
      <w:spacing w:after="240"/>
      <w:ind w:firstLine="0"/>
    </w:pPr>
  </w:style>
  <w:style w:type="paragraph" w:customStyle="1" w:styleId="APAOutlineLevel2">
    <w:name w:val="APA Outline Level 2"/>
    <w:basedOn w:val="APA"/>
    <w:next w:val="APA"/>
    <w:pPr>
      <w:spacing w:after="240"/>
      <w:ind w:left="720" w:firstLine="0"/>
    </w:pPr>
  </w:style>
  <w:style w:type="paragraph" w:customStyle="1" w:styleId="APAOutlineLevel3">
    <w:name w:val="APA Outline Level 3"/>
    <w:basedOn w:val="APA"/>
    <w:next w:val="APA"/>
    <w:pPr>
      <w:spacing w:after="240"/>
      <w:ind w:left="1440" w:firstLine="0"/>
    </w:pPr>
  </w:style>
  <w:style w:type="paragraph" w:customStyle="1" w:styleId="APAOutlineLevel4">
    <w:name w:val="APA Outline Level 4"/>
    <w:basedOn w:val="APA"/>
    <w:next w:val="APA"/>
    <w:pPr>
      <w:spacing w:after="240"/>
      <w:ind w:left="2160" w:firstLine="0"/>
    </w:pPr>
  </w:style>
  <w:style w:type="paragraph" w:customStyle="1" w:styleId="APAOutlineLevel5">
    <w:name w:val="APA Outline Level 5"/>
    <w:basedOn w:val="APA"/>
    <w:next w:val="APA"/>
    <w:pPr>
      <w:spacing w:after="240"/>
      <w:ind w:left="2880" w:firstLine="0"/>
    </w:pPr>
  </w:style>
  <w:style w:type="paragraph" w:customStyle="1" w:styleId="APAOutlineLevel6">
    <w:name w:val="APA Outline Level 6"/>
    <w:basedOn w:val="APA"/>
    <w:next w:val="APA"/>
    <w:pPr>
      <w:spacing w:after="240"/>
      <w:ind w:left="3600" w:firstLine="0"/>
    </w:pPr>
  </w:style>
  <w:style w:type="paragraph" w:customStyle="1" w:styleId="APAOutlineLevel7">
    <w:name w:val="APA Outline Level 7"/>
    <w:basedOn w:val="APA"/>
    <w:next w:val="APA"/>
    <w:pPr>
      <w:spacing w:after="240"/>
      <w:ind w:left="4320" w:firstLine="0"/>
    </w:pPr>
  </w:style>
  <w:style w:type="paragraph" w:customStyle="1" w:styleId="APAOutlineLevel8">
    <w:name w:val="APA Outline Level 8"/>
    <w:basedOn w:val="APA"/>
    <w:next w:val="APA"/>
    <w:pPr>
      <w:spacing w:after="240"/>
      <w:ind w:left="5040" w:firstLine="0"/>
    </w:pPr>
  </w:style>
  <w:style w:type="paragraph" w:customStyle="1" w:styleId="APAOutlineLevel9">
    <w:name w:val="APA Outline Level 9"/>
    <w:basedOn w:val="APA"/>
    <w:next w:val="APA"/>
    <w:pPr>
      <w:spacing w:after="240"/>
      <w:ind w:left="5760" w:firstLine="0"/>
    </w:pPr>
  </w:style>
  <w:style w:type="paragraph" w:customStyle="1" w:styleId="APANoIndent">
    <w:name w:val="APA No Indent"/>
    <w:basedOn w:val="BodyText"/>
    <w:next w:val="APA"/>
    <w:pPr>
      <w:spacing w:after="0" w:line="480" w:lineRule="auto"/>
    </w:pPr>
  </w:style>
  <w:style w:type="paragraph" w:styleId="Header">
    <w:name w:val="header"/>
    <w:basedOn w:val="Normal"/>
    <w:link w:val="HeaderChar"/>
    <w:unhideWhenUsed/>
    <w:rsid w:val="00D3436C"/>
    <w:pPr>
      <w:tabs>
        <w:tab w:val="center" w:pos="4680"/>
        <w:tab w:val="right" w:pos="9360"/>
      </w:tabs>
    </w:pPr>
  </w:style>
  <w:style w:type="character" w:customStyle="1" w:styleId="HeaderChar">
    <w:name w:val="Header Char"/>
    <w:basedOn w:val="DefaultParagraphFont"/>
    <w:link w:val="Header"/>
    <w:rsid w:val="00D3436C"/>
    <w:rPr>
      <w:sz w:val="24"/>
      <w:szCs w:val="24"/>
    </w:rPr>
  </w:style>
  <w:style w:type="paragraph" w:styleId="Footer">
    <w:name w:val="footer"/>
    <w:basedOn w:val="Normal"/>
    <w:link w:val="FooterChar"/>
    <w:unhideWhenUsed/>
    <w:rsid w:val="00D3436C"/>
    <w:pPr>
      <w:tabs>
        <w:tab w:val="center" w:pos="4680"/>
        <w:tab w:val="right" w:pos="9360"/>
      </w:tabs>
    </w:pPr>
  </w:style>
  <w:style w:type="character" w:customStyle="1" w:styleId="FooterChar">
    <w:name w:val="Footer Char"/>
    <w:basedOn w:val="DefaultParagraphFont"/>
    <w:link w:val="Footer"/>
    <w:rsid w:val="00D3436C"/>
    <w:rPr>
      <w:sz w:val="24"/>
      <w:szCs w:val="24"/>
    </w:rPr>
  </w:style>
  <w:style w:type="character" w:styleId="PlaceholderText">
    <w:name w:val="Placeholder Text"/>
    <w:basedOn w:val="DefaultParagraphFont"/>
    <w:uiPriority w:val="99"/>
    <w:semiHidden/>
    <w:rsid w:val="00E75482"/>
    <w:rPr>
      <w:color w:val="808080"/>
    </w:rPr>
  </w:style>
  <w:style w:type="paragraph" w:customStyle="1" w:styleId="APAReferenceSectionHeading">
    <w:name w:val="APA Reference Section Heading"/>
    <w:basedOn w:val="APAHeadingCenter"/>
    <w:next w:val="APAReference"/>
    <w:rsid w:val="00464C26"/>
    <w:pPr>
      <w:outlineLvl w:val="0"/>
    </w:pPr>
    <w:rPr>
      <w:b/>
    </w:rPr>
  </w:style>
  <w:style w:type="character" w:customStyle="1" w:styleId="BodyTextChar">
    <w:name w:val="Body Text Char"/>
    <w:basedOn w:val="DefaultParagraphFont"/>
    <w:link w:val="BodyText"/>
    <w:rsid w:val="00A534B5"/>
    <w:rPr>
      <w:sz w:val="24"/>
      <w:szCs w:val="24"/>
    </w:rPr>
  </w:style>
  <w:style w:type="character" w:customStyle="1" w:styleId="APAChar">
    <w:name w:val="APA Char"/>
    <w:basedOn w:val="BodyTextChar"/>
    <w:link w:val="APA"/>
    <w:rsid w:val="00A534B5"/>
    <w:rPr>
      <w:sz w:val="24"/>
      <w:szCs w:val="24"/>
    </w:rPr>
  </w:style>
  <w:style w:type="character" w:customStyle="1" w:styleId="APAHeading1Char">
    <w:name w:val="APA Heading 1 Char"/>
    <w:basedOn w:val="APAChar"/>
    <w:link w:val="APAHeading1"/>
    <w:rsid w:val="00A534B5"/>
    <w:rPr>
      <w:b/>
      <w:sz w:val="24"/>
      <w:szCs w:val="24"/>
    </w:rPr>
  </w:style>
  <w:style w:type="character" w:customStyle="1" w:styleId="APAHeading3Char">
    <w:name w:val="APA Heading 3 Char"/>
    <w:basedOn w:val="APAHeading1Char"/>
    <w:link w:val="APAHeading3"/>
    <w:rsid w:val="00A955C3"/>
    <w:rPr>
      <w:b/>
      <w:i/>
      <w:sz w:val="24"/>
      <w:szCs w:val="24"/>
    </w:rPr>
  </w:style>
  <w:style w:type="character" w:customStyle="1" w:styleId="APAHeading4Char">
    <w:name w:val="APA Heading 4 Char"/>
    <w:basedOn w:val="APAHeading1Char"/>
    <w:link w:val="APAHeading4"/>
    <w:rsid w:val="00A955C3"/>
    <w:rPr>
      <w:b/>
      <w:sz w:val="24"/>
      <w:szCs w:val="24"/>
    </w:rPr>
  </w:style>
  <w:style w:type="character" w:customStyle="1" w:styleId="APAHeading5Char">
    <w:name w:val="APA Heading 5 Char"/>
    <w:basedOn w:val="APAHeading1Char"/>
    <w:link w:val="APAHeading5"/>
    <w:rsid w:val="00A955C3"/>
    <w:rPr>
      <w:b/>
      <w:i/>
      <w:sz w:val="24"/>
      <w:szCs w:val="24"/>
    </w:rPr>
  </w:style>
  <w:style w:type="character" w:customStyle="1" w:styleId="Heading1Char">
    <w:name w:val="Heading 1 Char"/>
    <w:basedOn w:val="DefaultParagraphFont"/>
    <w:link w:val="Heading1"/>
    <w:rsid w:val="00EA2F2D"/>
    <w:rPr>
      <w:rFonts w:asciiTheme="majorHAnsi" w:eastAsiaTheme="majorEastAsia" w:hAnsiTheme="majorHAnsi" w:cstheme="majorBidi"/>
      <w:color w:val="2F5496" w:themeColor="accent1" w:themeShade="BF"/>
      <w:sz w:val="32"/>
      <w:szCs w:val="32"/>
    </w:rPr>
  </w:style>
  <w:style w:type="paragraph" w:styleId="TOCHeading">
    <w:name w:val="TOC Heading"/>
    <w:basedOn w:val="APAHeadingCenter"/>
    <w:next w:val="Normal"/>
    <w:uiPriority w:val="39"/>
    <w:semiHidden/>
    <w:unhideWhenUsed/>
    <w:rsid w:val="00EA2F2D"/>
  </w:style>
  <w:style w:type="paragraph" w:styleId="TOC1">
    <w:name w:val="toc 1"/>
    <w:basedOn w:val="Normal"/>
    <w:next w:val="Normal"/>
    <w:autoRedefine/>
    <w:semiHidden/>
    <w:unhideWhenUsed/>
    <w:rsid w:val="00EA2F2D"/>
    <w:pPr>
      <w:tabs>
        <w:tab w:val="right" w:leader="dot" w:pos="9346"/>
      </w:tabs>
      <w:spacing w:after="100" w:line="480" w:lineRule="auto"/>
    </w:pPr>
  </w:style>
  <w:style w:type="paragraph" w:styleId="TOC2">
    <w:name w:val="toc 2"/>
    <w:basedOn w:val="Normal"/>
    <w:next w:val="Normal"/>
    <w:autoRedefine/>
    <w:semiHidden/>
    <w:unhideWhenUsed/>
    <w:rsid w:val="00E50AEC"/>
    <w:pPr>
      <w:spacing w:after="100" w:line="480" w:lineRule="auto"/>
      <w:ind w:left="240"/>
    </w:pPr>
  </w:style>
  <w:style w:type="paragraph" w:styleId="TOC3">
    <w:name w:val="toc 3"/>
    <w:basedOn w:val="Normal"/>
    <w:next w:val="Normal"/>
    <w:autoRedefine/>
    <w:semiHidden/>
    <w:unhideWhenUsed/>
    <w:rsid w:val="00E50AEC"/>
    <w:pPr>
      <w:spacing w:after="100" w:line="480" w:lineRule="auto"/>
      <w:ind w:left="480"/>
    </w:pPr>
  </w:style>
  <w:style w:type="paragraph" w:styleId="TOC4">
    <w:name w:val="toc 4"/>
    <w:basedOn w:val="Normal"/>
    <w:next w:val="Normal"/>
    <w:autoRedefine/>
    <w:semiHidden/>
    <w:unhideWhenUsed/>
    <w:rsid w:val="00E50AEC"/>
    <w:pPr>
      <w:spacing w:after="100" w:line="480" w:lineRule="auto"/>
      <w:ind w:left="720"/>
    </w:pPr>
  </w:style>
  <w:style w:type="paragraph" w:styleId="TOC5">
    <w:name w:val="toc 5"/>
    <w:basedOn w:val="Normal"/>
    <w:next w:val="Normal"/>
    <w:autoRedefine/>
    <w:semiHidden/>
    <w:unhideWhenUsed/>
    <w:rsid w:val="00E50AEC"/>
    <w:pPr>
      <w:spacing w:after="100" w:line="480" w:lineRule="auto"/>
      <w:ind w:left="960"/>
    </w:pPr>
  </w:style>
  <w:style w:type="paragraph" w:customStyle="1" w:styleId="APATableNumber">
    <w:name w:val="APA Table Number"/>
    <w:basedOn w:val="APA"/>
    <w:next w:val="APA"/>
    <w:rsid w:val="003110C2"/>
    <w:pPr>
      <w:ind w:firstLine="0"/>
    </w:pPr>
    <w:rPr>
      <w:b/>
    </w:rPr>
  </w:style>
  <w:style w:type="paragraph" w:customStyle="1" w:styleId="APATableContent">
    <w:name w:val="APA Table Content"/>
    <w:basedOn w:val="APA"/>
    <w:next w:val="APA"/>
    <w:rsid w:val="008C0A2C"/>
    <w:pPr>
      <w:spacing w:line="240" w:lineRule="auto"/>
      <w:ind w:firstLine="0"/>
    </w:pPr>
  </w:style>
  <w:style w:type="paragraph" w:customStyle="1" w:styleId="APATableNote">
    <w:name w:val="APA Table Note"/>
    <w:basedOn w:val="APA"/>
    <w:next w:val="APA"/>
    <w:rsid w:val="00A04071"/>
    <w:pPr>
      <w:spacing w:before="240" w:after="0"/>
      <w:ind w:firstLine="0"/>
    </w:pPr>
  </w:style>
  <w:style w:type="paragraph" w:customStyle="1" w:styleId="APATableTitle">
    <w:name w:val="APA Table Title"/>
    <w:basedOn w:val="APA"/>
    <w:next w:val="APA"/>
    <w:rsid w:val="000B0790"/>
    <w:pPr>
      <w:ind w:firstLine="0"/>
    </w:pPr>
    <w:rPr>
      <w:i/>
    </w:rPr>
  </w:style>
  <w:style w:type="table" w:customStyle="1" w:styleId="APATable">
    <w:name w:val="APA Table"/>
    <w:basedOn w:val="TableNormal"/>
    <w:uiPriority w:val="99"/>
    <w:rsid w:val="00BE7FB2"/>
    <w:pPr>
      <w:jc w:val="center"/>
    </w:pPr>
    <w:rPr>
      <w:sz w:val="24"/>
    </w:rPr>
    <w:tblPr>
      <w:tblBorders>
        <w:top w:val="single" w:sz="4" w:space="0" w:color="auto"/>
        <w:bottom w:val="single" w:sz="4" w:space="0" w:color="auto"/>
      </w:tblBorders>
    </w:tblPr>
    <w:tcPr>
      <w:vAlign w:val="center"/>
    </w:tcPr>
    <w:tblStylePr w:type="firstRow">
      <w:tblPr/>
      <w:tcPr>
        <w:tcBorders>
          <w:bottom w:val="single" w:sz="4" w:space="0" w:color="auto"/>
        </w:tcBorders>
      </w:tcPr>
    </w:tblStylePr>
    <w:tblStylePr w:type="firstCol">
      <w:pPr>
        <w:jc w:val="left"/>
      </w:pPr>
    </w:tblStylePr>
  </w:style>
  <w:style w:type="paragraph" w:customStyle="1" w:styleId="APAFigure">
    <w:name w:val="APA Figure"/>
    <w:basedOn w:val="APA"/>
    <w:next w:val="APAFigureCaption"/>
    <w:rsid w:val="0071671D"/>
    <w:pPr>
      <w:spacing w:line="240" w:lineRule="auto"/>
      <w:ind w:firstLine="0"/>
    </w:pPr>
  </w:style>
  <w:style w:type="paragraph" w:customStyle="1" w:styleId="APAFigureCaption">
    <w:name w:val="APA Figure Caption"/>
    <w:basedOn w:val="APA"/>
    <w:next w:val="APA"/>
    <w:rsid w:val="00FE4B76"/>
    <w:pPr>
      <w:ind w:firstLine="0"/>
    </w:pPr>
    <w:rPr>
      <w:i/>
    </w:rPr>
  </w:style>
  <w:style w:type="table" w:styleId="TableGrid">
    <w:name w:val="Table Grid"/>
    <w:basedOn w:val="TableNormal"/>
    <w:rsid w:val="00BE7F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Title">
    <w:name w:val="APA Title"/>
    <w:basedOn w:val="APAHeadingCenter"/>
    <w:rsid w:val="008A326A"/>
    <w:rPr>
      <w:b/>
    </w:rPr>
  </w:style>
  <w:style w:type="paragraph" w:customStyle="1" w:styleId="APAFirstPageTitle">
    <w:name w:val="APA First Page Title"/>
    <w:basedOn w:val="APAHeadingCenterIncludedInTOC"/>
    <w:next w:val="APA"/>
    <w:rsid w:val="008D0794"/>
    <w:rPr>
      <w:b/>
    </w:rPr>
  </w:style>
  <w:style w:type="paragraph" w:customStyle="1" w:styleId="APAAuthorNoteHeader">
    <w:name w:val="APA Author Note Header"/>
    <w:basedOn w:val="APAHeadingCenter"/>
    <w:next w:val="APA"/>
    <w:rsid w:val="00ED0529"/>
    <w:rPr>
      <w:b/>
    </w:rPr>
  </w:style>
  <w:style w:type="paragraph" w:customStyle="1" w:styleId="APAAbstractHeader">
    <w:name w:val="APA Abstract Header"/>
    <w:basedOn w:val="APAHeadingCenter"/>
    <w:next w:val="APAAbstract"/>
    <w:rsid w:val="00C66254"/>
    <w:rPr>
      <w:b/>
    </w:rPr>
  </w:style>
  <w:style w:type="paragraph" w:customStyle="1" w:styleId="APATOCHeader">
    <w:name w:val="APA TOC Header"/>
    <w:basedOn w:val="APAHeadingCenter"/>
    <w:rsid w:val="002665BE"/>
    <w:rPr>
      <w:b/>
    </w:rPr>
  </w:style>
  <w:style w:type="paragraph" w:customStyle="1" w:styleId="APAFigureNumber">
    <w:name w:val="APA Figure Number"/>
    <w:basedOn w:val="APATableNumber"/>
    <w:next w:val="APAFigureCaption"/>
    <w:rsid w:val="00471F88"/>
  </w:style>
  <w:style w:type="paragraph" w:customStyle="1" w:styleId="APAFigureNote">
    <w:name w:val="APA Figure Note"/>
    <w:basedOn w:val="APATableNote"/>
    <w:rsid w:val="00ED7779"/>
  </w:style>
  <w:style w:type="paragraph" w:styleId="ListParagraph">
    <w:name w:val="List Paragraph"/>
    <w:basedOn w:val="APA"/>
    <w:uiPriority w:val="34"/>
    <w:rsid w:val="003717D4"/>
    <w:pPr>
      <w:numPr>
        <w:numId w:val="11"/>
      </w:numPr>
      <w:spacing w:line="240" w:lineRule="auto"/>
      <w:contextualSpacing/>
    </w:pPr>
  </w:style>
  <w:style w:type="character" w:customStyle="1" w:styleId="Heading4Char">
    <w:name w:val="Heading 4 Char"/>
    <w:basedOn w:val="DefaultParagraphFont"/>
    <w:link w:val="Heading4"/>
    <w:semiHidden/>
    <w:rsid w:val="003B242D"/>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semiHidden/>
    <w:rsid w:val="003B242D"/>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semiHidden/>
    <w:rsid w:val="003B242D"/>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semiHidden/>
    <w:rsid w:val="003B242D"/>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3B242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3B242D"/>
    <w:rPr>
      <w:rFonts w:asciiTheme="majorHAnsi" w:eastAsiaTheme="majorEastAsia" w:hAnsiTheme="majorHAnsi" w:cstheme="majorBidi"/>
      <w:i/>
      <w:iCs/>
      <w:color w:val="272727" w:themeColor="text1" w:themeTint="D8"/>
      <w:sz w:val="21"/>
      <w:szCs w:val="21"/>
    </w:rPr>
  </w:style>
  <w:style w:type="paragraph" w:customStyle="1" w:styleId="APAOutline">
    <w:name w:val="APA Outline"/>
    <w:basedOn w:val="ListParagraph"/>
    <w:qFormat/>
    <w:rsid w:val="00A846AA"/>
    <w:pPr>
      <w:spacing w:line="480" w:lineRule="auto"/>
    </w:pPr>
  </w:style>
  <w:style w:type="paragraph" w:customStyle="1" w:styleId="APAAppendixTitle">
    <w:name w:val="APA Appendix Title"/>
    <w:basedOn w:val="APAHeading1"/>
    <w:next w:val="APA"/>
    <w:rsid w:val="00F85114"/>
    <w:pPr>
      <w:outlineLvl w:val="9"/>
    </w:pPr>
  </w:style>
  <w:style w:type="paragraph" w:customStyle="1" w:styleId="APAAnnotationFollowUp">
    <w:name w:val="APA Annotation Follow Up"/>
    <w:basedOn w:val="APAAnnotation"/>
    <w:rsid w:val="00C33D39"/>
    <w:pPr>
      <w:ind w:firstLine="720"/>
    </w:pPr>
  </w:style>
  <w:style w:type="character" w:customStyle="1" w:styleId="APAHeading4Export">
    <w:name w:val="APA Heading 4 Export"/>
    <w:rPr>
      <w:rFonts w:ascii="Times New Roman" w:eastAsia="Times New Roman" w:hAnsi="Times New Roman" w:cs="Times New Roman"/>
      <w:b/>
      <w:i w:val="0"/>
      <w:sz w:val="24"/>
    </w:rPr>
  </w:style>
  <w:style w:type="character" w:customStyle="1" w:styleId="APAHeading5Export">
    <w:name w:val="APA Heading 5 Export"/>
    <w:rPr>
      <w:rFonts w:ascii="Times New Roman" w:eastAsia="Times New Roman" w:hAnsi="Times New Roman" w:cs="Times New Roman"/>
      <w:b/>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currentnursing.com/nursing_theory/models_prevention.html" TargetMode="External" /><Relationship Id="rId11" Type="http://schemas.openxmlformats.org/officeDocument/2006/relationships/hyperlink" Target="https://doi.org/10.1002/14651858.cd004659.pub3" TargetMode="External" /><Relationship Id="rId12" Type="http://schemas.openxmlformats.org/officeDocument/2006/relationships/hyperlink" Target="https://doi.org/10.1111/wvn.12269" TargetMode="External" /><Relationship Id="rId13" Type="http://schemas.openxmlformats.org/officeDocument/2006/relationships/hyperlink" Target="http://www.amhsjournal.org/article.asp?issn=2321-4848;year=2014;volume=2;issue=2;spage=254;epage=256;aulast=Pandve" TargetMode="External" /><Relationship Id="rId14" Type="http://schemas.openxmlformats.org/officeDocument/2006/relationships/hyperlink" Target="https://www.ajog.org/article/S0002-9378(17)32326-8/fulltext" TargetMode="External" /><Relationship Id="rId15" Type="http://schemas.openxmlformats.org/officeDocument/2006/relationships/hyperlink" Target="https://doi.org/10.1056/nejmoa1704559" TargetMode="External" /><Relationship Id="rId16" Type="http://schemas.openxmlformats.org/officeDocument/2006/relationships/hyperlink" Target="https://doi.org/https://books.google.com/books?hl=en&amp;lr=&amp;id=EpDbQSI1390C&amp;oi=fnd&amp;pg=PA137&amp;dq=the+iowa+model+ebp+scholarly+articles&amp;ots=edkEAUWwLN&amp;sig=rjhpxehXij8f5iVqTtjMoBgQRWE" TargetMode="External" /><Relationship Id="rId17" Type="http://schemas.openxmlformats.org/officeDocument/2006/relationships/hyperlink" Target="https://www.fda.gov/science-research/womens-health-research/owh-research-and-development-program" TargetMode="External" /><Relationship Id="rId18" Type="http://schemas.openxmlformats.org/officeDocument/2006/relationships/hyperlink" Target="https://doi.org/10.1016/j.ajog.2019.02.034" TargetMode="External" /><Relationship Id="rId19" Type="http://schemas.openxmlformats.org/officeDocument/2006/relationships/hyperlink" Target="https://doi.org/10.1111/jch.12541" TargetMode="Externa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yperlink" Target="https://www.ncbi.nlm.nih.gov/pmc/articles/PMC5681618/" TargetMode="External" /><Relationship Id="rId7" Type="http://schemas.openxmlformats.org/officeDocument/2006/relationships/hyperlink" Target="https://www.uptodate.com/contents/preeclampsia-clinical-features-and-diagnosis" TargetMode="External" /><Relationship Id="rId8" Type="http://schemas.openxmlformats.org/officeDocument/2006/relationships/hyperlink" Target="https://www.cdc.gov/reproductivehealth/maternal-mortality/pregnancy-mortality-surveillance-system.htm" TargetMode="External" /><Relationship Id="rId9" Type="http://schemas.openxmlformats.org/officeDocument/2006/relationships/hyperlink" Target="https://www.cdc.gov/bloodpressure/pregnancy.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16</Pages>
  <Words>11</Words>
  <Characters>63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Evaluating Use of Aspirin in the Prevention of Preeclampsia</dc:title>
  <dc:creator>Natalie Chapman</dc:creator>
  <cp:lastModifiedBy>Joey Nixon</cp:lastModifiedBy>
  <cp:revision>44</cp:revision>
  <dcterms:created xsi:type="dcterms:W3CDTF">2019-01-25T20:15:00Z</dcterms:created>
  <dcterms:modified xsi:type="dcterms:W3CDTF">2021-06-07T19:24:00Z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erID">
    <vt:i4>703646</vt:i4>
  </property>
  <property fmtid="{D5CDD505-2E9C-101B-9397-08002B2CF9AE}" pid="3" name="PERRLAExportAsNormal">
    <vt:bool>true</vt:bool>
  </property>
</Properties>
</file>